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B6" w:rsidRPr="00ED5D3D" w:rsidRDefault="00A240B6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4911" r:id="rId8"/>
        </w:pict>
      </w:r>
    </w:p>
    <w:p w:rsidR="00A240B6" w:rsidRPr="00ED5D3D" w:rsidRDefault="00A240B6">
      <w:pPr>
        <w:spacing w:line="240" w:lineRule="auto"/>
        <w:jc w:val="center"/>
        <w:rPr>
          <w:b/>
          <w:bCs/>
          <w:sz w:val="24"/>
        </w:rPr>
      </w:pPr>
    </w:p>
    <w:p w:rsidR="00A240B6" w:rsidRPr="00ED5D3D" w:rsidRDefault="00A240B6">
      <w:pPr>
        <w:spacing w:line="240" w:lineRule="auto"/>
        <w:jc w:val="center"/>
        <w:rPr>
          <w:b/>
          <w:bCs/>
          <w:sz w:val="24"/>
        </w:rPr>
      </w:pPr>
    </w:p>
    <w:p w:rsidR="00A240B6" w:rsidRPr="00ED5D3D" w:rsidRDefault="00A240B6">
      <w:pPr>
        <w:spacing w:line="240" w:lineRule="auto"/>
        <w:jc w:val="center"/>
        <w:rPr>
          <w:b/>
          <w:bCs/>
          <w:sz w:val="24"/>
        </w:rPr>
      </w:pPr>
    </w:p>
    <w:p w:rsidR="00A240B6" w:rsidRPr="00ED5D3D" w:rsidRDefault="00A240B6">
      <w:pPr>
        <w:spacing w:line="240" w:lineRule="auto"/>
        <w:jc w:val="center"/>
        <w:rPr>
          <w:b/>
          <w:bCs/>
          <w:sz w:val="24"/>
        </w:rPr>
      </w:pPr>
    </w:p>
    <w:p w:rsidR="00A240B6" w:rsidRPr="00ED5D3D" w:rsidRDefault="00A240B6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A240B6" w:rsidRPr="00ED5D3D" w:rsidRDefault="00A240B6">
      <w:pPr>
        <w:spacing w:line="240" w:lineRule="auto"/>
        <w:jc w:val="center"/>
        <w:rPr>
          <w:szCs w:val="22"/>
        </w:rPr>
      </w:pPr>
    </w:p>
    <w:p w:rsidR="00A240B6" w:rsidRPr="00ED5D3D" w:rsidRDefault="00A240B6">
      <w:pPr>
        <w:spacing w:line="240" w:lineRule="auto"/>
        <w:jc w:val="center"/>
        <w:rPr>
          <w:szCs w:val="22"/>
        </w:rPr>
      </w:pPr>
    </w:p>
    <w:p w:rsidR="00A240B6" w:rsidRPr="00ED5D3D" w:rsidRDefault="00A240B6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240B6" w:rsidRPr="00ED5D3D" w:rsidRDefault="00A240B6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240B6" w:rsidRPr="00ED5D3D" w:rsidRDefault="00A240B6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A240B6" w:rsidRPr="00ED5D3D" w:rsidRDefault="00A240B6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A240B6" w:rsidRPr="002C49EE" w:rsidRDefault="00A240B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A240B6" w:rsidRPr="002C49EE" w:rsidRDefault="00A240B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A240B6" w:rsidRPr="002C49EE" w:rsidRDefault="00A240B6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A240B6" w:rsidRPr="00ED5D3D" w:rsidRDefault="00A240B6">
      <w:pPr>
        <w:rPr>
          <w:b/>
          <w:sz w:val="24"/>
        </w:rPr>
      </w:pPr>
    </w:p>
    <w:p w:rsidR="00A240B6" w:rsidRPr="00ED5D3D" w:rsidRDefault="00A240B6">
      <w:pPr>
        <w:rPr>
          <w:b/>
          <w:sz w:val="24"/>
        </w:rPr>
      </w:pPr>
    </w:p>
    <w:p w:rsidR="00A240B6" w:rsidRPr="00ED5D3D" w:rsidRDefault="00A240B6">
      <w:pPr>
        <w:rPr>
          <w:b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A240B6" w:rsidRDefault="00A240B6" w:rsidP="00904367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Radikální v</w:t>
      </w:r>
      <w:r w:rsidRPr="0053478D">
        <w:rPr>
          <w:bCs/>
          <w:sz w:val="24"/>
        </w:rPr>
        <w:t>ulve</w:t>
      </w:r>
      <w:r>
        <w:rPr>
          <w:bCs/>
          <w:sz w:val="24"/>
        </w:rPr>
        <w:t>k</w:t>
      </w:r>
      <w:r w:rsidRPr="0053478D">
        <w:rPr>
          <w:bCs/>
          <w:sz w:val="24"/>
        </w:rPr>
        <w:t>tomi</w:t>
      </w:r>
      <w:r>
        <w:rPr>
          <w:bCs/>
          <w:sz w:val="24"/>
        </w:rPr>
        <w:t>e</w:t>
      </w:r>
      <w:r w:rsidRPr="0053478D">
        <w:rPr>
          <w:bCs/>
          <w:sz w:val="24"/>
        </w:rPr>
        <w:t xml:space="preserve">, mapování sentinelových </w:t>
      </w:r>
      <w:r>
        <w:rPr>
          <w:bCs/>
          <w:sz w:val="24"/>
        </w:rPr>
        <w:t xml:space="preserve">lymfatických </w:t>
      </w:r>
      <w:r w:rsidRPr="0053478D">
        <w:rPr>
          <w:bCs/>
          <w:sz w:val="24"/>
        </w:rPr>
        <w:t>uzlin,  lymfadenektomie inguinofemorální</w:t>
      </w:r>
    </w:p>
    <w:p w:rsidR="00A240B6" w:rsidRPr="00ED5D3D" w:rsidRDefault="00A240B6" w:rsidP="00F91973">
      <w:pPr>
        <w:spacing w:line="240" w:lineRule="auto"/>
        <w:jc w:val="both"/>
        <w:rPr>
          <w:bCs/>
          <w:sz w:val="24"/>
        </w:rPr>
      </w:pPr>
    </w:p>
    <w:p w:rsidR="00A240B6" w:rsidRPr="00ED5D3D" w:rsidRDefault="00A240B6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A240B6" w:rsidRPr="00ED5D3D" w:rsidRDefault="00A240B6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zevního genitálu</w:t>
      </w:r>
    </w:p>
    <w:p w:rsidR="00A240B6" w:rsidRPr="00ED5D3D" w:rsidRDefault="00A240B6" w:rsidP="00F91973">
      <w:pPr>
        <w:spacing w:line="240" w:lineRule="auto"/>
        <w:rPr>
          <w:bCs/>
          <w:sz w:val="24"/>
        </w:rPr>
      </w:pPr>
    </w:p>
    <w:p w:rsidR="00A240B6" w:rsidRPr="00ED5D3D" w:rsidRDefault="00A240B6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A240B6" w:rsidRPr="00C708FE" w:rsidRDefault="00A240B6" w:rsidP="00904367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C708FE">
        <w:rPr>
          <w:sz w:val="24"/>
        </w:rPr>
        <w:t xml:space="preserve">Účelem i následkem operace je odstranění zevního genitálu včetně klitoris. Při operaci je do </w:t>
      </w:r>
      <w:r>
        <w:rPr>
          <w:sz w:val="24"/>
        </w:rPr>
        <w:t xml:space="preserve">okolí </w:t>
      </w:r>
      <w:r w:rsidRPr="00C708FE">
        <w:rPr>
          <w:sz w:val="24"/>
        </w:rPr>
        <w:t>nádoru aplikován roztok radiokoloidu technecia a barvivo (patentová modř), a to vše za účelem odhalení a odstranění tzv. sentinelov</w:t>
      </w:r>
      <w:r>
        <w:rPr>
          <w:sz w:val="24"/>
        </w:rPr>
        <w:t>ých</w:t>
      </w:r>
      <w:r w:rsidRPr="00C708FE">
        <w:rPr>
          <w:sz w:val="24"/>
        </w:rPr>
        <w:t xml:space="preserve"> (spádov</w:t>
      </w:r>
      <w:r>
        <w:rPr>
          <w:sz w:val="24"/>
        </w:rPr>
        <w:t>ých</w:t>
      </w:r>
      <w:r w:rsidRPr="00C708FE">
        <w:rPr>
          <w:sz w:val="24"/>
        </w:rPr>
        <w:t>) mízní</w:t>
      </w:r>
      <w:r>
        <w:rPr>
          <w:sz w:val="24"/>
        </w:rPr>
        <w:t>ch</w:t>
      </w:r>
      <w:r w:rsidRPr="00C708FE">
        <w:rPr>
          <w:sz w:val="24"/>
        </w:rPr>
        <w:t xml:space="preserve"> uzlin</w:t>
      </w:r>
      <w:r>
        <w:rPr>
          <w:sz w:val="24"/>
        </w:rPr>
        <w:t xml:space="preserve"> v</w:t>
      </w:r>
      <w:r w:rsidRPr="00C708FE">
        <w:rPr>
          <w:sz w:val="24"/>
        </w:rPr>
        <w:t xml:space="preserve"> tříslech. </w:t>
      </w:r>
      <w:r>
        <w:rPr>
          <w:sz w:val="24"/>
        </w:rPr>
        <w:t>V závislosti na p</w:t>
      </w:r>
      <w:r w:rsidRPr="00C708FE">
        <w:rPr>
          <w:sz w:val="24"/>
        </w:rPr>
        <w:t>eroperační</w:t>
      </w:r>
      <w:r>
        <w:rPr>
          <w:sz w:val="24"/>
        </w:rPr>
        <w:t>m</w:t>
      </w:r>
      <w:r w:rsidRPr="00C708FE">
        <w:rPr>
          <w:sz w:val="24"/>
        </w:rPr>
        <w:t xml:space="preserve"> nálezu se odstraňují všechny mízní uzliny z obou třísel.</w:t>
      </w:r>
      <w:r>
        <w:rPr>
          <w:sz w:val="24"/>
        </w:rPr>
        <w:t xml:space="preserve"> </w:t>
      </w:r>
      <w:r>
        <w:rPr>
          <w:bCs/>
          <w:sz w:val="24"/>
        </w:rPr>
        <w:t xml:space="preserve">Operace se provádí v celkové anestézii. Tkáň se odstraňuje ostře skalpelem. Defekty ve tkáních po odstranění nádoru i se sešívají vstřebatelnými vlákny. </w:t>
      </w:r>
      <w:r w:rsidRPr="00C708FE">
        <w:rPr>
          <w:bCs/>
          <w:sz w:val="24"/>
        </w:rPr>
        <w:t xml:space="preserve">Prospěch zákroku spočívá v odstranění nádoru na zevním genitálu i s okolními tkáněmi a mízními uzlinami, v nichž se mohou vyskytovat metastázy tohoto nádoru.   </w:t>
      </w:r>
    </w:p>
    <w:p w:rsidR="00A240B6" w:rsidRPr="00ED5D3D" w:rsidRDefault="00A240B6" w:rsidP="00F91973">
      <w:pPr>
        <w:spacing w:line="240" w:lineRule="auto"/>
        <w:rPr>
          <w:bCs/>
          <w:i/>
          <w:sz w:val="24"/>
        </w:rPr>
      </w:pPr>
    </w:p>
    <w:p w:rsidR="00A240B6" w:rsidRDefault="00A240B6" w:rsidP="00904367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A240B6" w:rsidRPr="00904367" w:rsidRDefault="00A240B6" w:rsidP="00904367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A240B6" w:rsidRPr="00332614" w:rsidRDefault="00A240B6" w:rsidP="00904367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332614">
        <w:rPr>
          <w:sz w:val="24"/>
        </w:rPr>
        <w:t>krvácení v průběhu operace a v pooperač</w:t>
      </w:r>
      <w:r>
        <w:rPr>
          <w:sz w:val="24"/>
        </w:rPr>
        <w:t>ním období</w:t>
      </w:r>
    </w:p>
    <w:p w:rsidR="00A240B6" w:rsidRPr="00332614" w:rsidRDefault="00A240B6" w:rsidP="0090436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332614">
        <w:rPr>
          <w:sz w:val="24"/>
        </w:rPr>
        <w:t>zánětlivé komplikace</w:t>
      </w:r>
      <w:r>
        <w:rPr>
          <w:sz w:val="24"/>
        </w:rPr>
        <w:t>,</w:t>
      </w:r>
      <w:r w:rsidRPr="00332614">
        <w:rPr>
          <w:sz w:val="24"/>
        </w:rPr>
        <w:t xml:space="preserve"> a to jak v operační ráně </w:t>
      </w:r>
      <w:r>
        <w:rPr>
          <w:sz w:val="24"/>
        </w:rPr>
        <w:t xml:space="preserve">na zevním genitálu, </w:t>
      </w:r>
      <w:r w:rsidRPr="00332614">
        <w:rPr>
          <w:sz w:val="24"/>
        </w:rPr>
        <w:t>tak</w:t>
      </w:r>
      <w:r>
        <w:rPr>
          <w:sz w:val="24"/>
        </w:rPr>
        <w:t xml:space="preserve"> i</w:t>
      </w:r>
      <w:r w:rsidRPr="00332614">
        <w:rPr>
          <w:sz w:val="24"/>
        </w:rPr>
        <w:t xml:space="preserve"> v</w:t>
      </w:r>
      <w:r>
        <w:rPr>
          <w:sz w:val="24"/>
        </w:rPr>
        <w:t xml:space="preserve"> tříslech</w:t>
      </w:r>
      <w:r w:rsidRPr="00332614">
        <w:rPr>
          <w:sz w:val="24"/>
        </w:rPr>
        <w:t xml:space="preserve"> </w:t>
      </w:r>
    </w:p>
    <w:p w:rsidR="00A240B6" w:rsidRDefault="00A240B6" w:rsidP="0090436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332614">
        <w:rPr>
          <w:sz w:val="24"/>
        </w:rPr>
        <w:t>nezhojení nebo rozestup rány v pooperačním období</w:t>
      </w:r>
    </w:p>
    <w:p w:rsidR="00A240B6" w:rsidRDefault="00A240B6" w:rsidP="0090436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žilní a oběhové komplikace</w:t>
      </w:r>
    </w:p>
    <w:p w:rsidR="00A240B6" w:rsidRPr="00332614" w:rsidRDefault="00A240B6" w:rsidP="00904367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lymfatické otoky dolních končetin a v podbřišku, případné vytvoření lymfocysty (nahromadění mízní tekutiny v tříslech)</w:t>
      </w:r>
    </w:p>
    <w:p w:rsidR="00A240B6" w:rsidRPr="00E34F2C" w:rsidRDefault="00A240B6" w:rsidP="00904367">
      <w:pPr>
        <w:spacing w:line="240" w:lineRule="auto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A240B6" w:rsidRPr="0090070E" w:rsidRDefault="00A240B6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90070E">
        <w:rPr>
          <w:bCs/>
          <w:sz w:val="24"/>
        </w:rPr>
        <w:t>nejsou</w:t>
      </w:r>
    </w:p>
    <w:p w:rsidR="00A240B6" w:rsidRPr="00ED5D3D" w:rsidRDefault="00A240B6" w:rsidP="0085527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</w:t>
      </w:r>
    </w:p>
    <w:p w:rsidR="00A240B6" w:rsidRPr="00F071C5" w:rsidRDefault="00A240B6" w:rsidP="00904367">
      <w:pPr>
        <w:numPr>
          <w:ilvl w:val="0"/>
          <w:numId w:val="15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Trvalá nemožnost pohlavního styku. Nutnost omezení námahy po dobu 6-8 týdnů.</w:t>
      </w:r>
    </w:p>
    <w:p w:rsidR="00A240B6" w:rsidRPr="00ED5D3D" w:rsidRDefault="00A240B6" w:rsidP="007937C0">
      <w:pPr>
        <w:spacing w:line="240" w:lineRule="auto"/>
        <w:ind w:firstLine="708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A240B6" w:rsidRPr="00ED5D3D" w:rsidRDefault="00A240B6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2-3 týdny</w:t>
      </w:r>
    </w:p>
    <w:p w:rsidR="00A240B6" w:rsidRPr="00ED5D3D" w:rsidRDefault="00A240B6" w:rsidP="002B6F75">
      <w:pPr>
        <w:spacing w:line="240" w:lineRule="auto"/>
        <w:jc w:val="both"/>
        <w:rPr>
          <w:bCs/>
          <w:i/>
          <w:sz w:val="24"/>
        </w:rPr>
      </w:pPr>
    </w:p>
    <w:p w:rsidR="00A240B6" w:rsidRPr="00ED5D3D" w:rsidRDefault="00A240B6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A240B6" w:rsidRPr="00ED5D3D" w:rsidRDefault="00A240B6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nejméně 6 týdnů</w:t>
      </w:r>
    </w:p>
    <w:p w:rsidR="00A240B6" w:rsidRPr="00ED5D3D" w:rsidRDefault="00A240B6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A240B6" w:rsidRPr="00E34F2C" w:rsidRDefault="00A240B6" w:rsidP="00904367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trvale nemožnost pohlavního styku.</w:t>
      </w:r>
    </w:p>
    <w:p w:rsidR="00A240B6" w:rsidRPr="00ED5D3D" w:rsidRDefault="00A240B6" w:rsidP="002B6F75">
      <w:pPr>
        <w:spacing w:line="240" w:lineRule="auto"/>
        <w:rPr>
          <w:b/>
          <w:bCs/>
          <w:i/>
          <w:sz w:val="24"/>
        </w:rPr>
      </w:pPr>
    </w:p>
    <w:p w:rsidR="00A240B6" w:rsidRPr="00ED5D3D" w:rsidRDefault="00A240B6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A240B6" w:rsidRPr="00ED5D3D" w:rsidRDefault="00A240B6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 nelze předpokládat</w:t>
      </w:r>
    </w:p>
    <w:p w:rsidR="00A240B6" w:rsidRPr="00ED5D3D" w:rsidRDefault="00A240B6" w:rsidP="002B6F75">
      <w:pPr>
        <w:spacing w:line="240" w:lineRule="auto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A240B6" w:rsidRDefault="00A240B6" w:rsidP="00904367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53478D">
        <w:rPr>
          <w:bCs/>
          <w:sz w:val="24"/>
        </w:rPr>
        <w:t>Omezení námahy</w:t>
      </w:r>
      <w:r>
        <w:rPr>
          <w:bCs/>
          <w:sz w:val="24"/>
        </w:rPr>
        <w:t xml:space="preserve"> po dobu 6-8 týdnů po operaci, nezvedání těžkých břemen, doporučena je zvýšená hygiena – sprchování zevního genitálu po každém močení i stolici.</w:t>
      </w: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A240B6" w:rsidRPr="00ED5D3D" w:rsidRDefault="00A240B6" w:rsidP="00E77044">
      <w:pPr>
        <w:spacing w:line="240" w:lineRule="auto"/>
        <w:ind w:left="720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</w:rPr>
      </w:pP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A240B6" w:rsidRPr="00ED5D3D" w:rsidRDefault="00A240B6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A240B6" w:rsidRPr="00ED5D3D" w:rsidRDefault="00A240B6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A240B6" w:rsidRPr="00ED5D3D" w:rsidRDefault="00A240B6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A240B6" w:rsidRPr="00ED5D3D" w:rsidRDefault="00A240B6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A240B6" w:rsidRPr="00ED5D3D" w:rsidRDefault="00A240B6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>
      <w:pPr>
        <w:spacing w:line="240" w:lineRule="auto"/>
        <w:jc w:val="both"/>
        <w:rPr>
          <w:bCs/>
          <w:sz w:val="24"/>
        </w:rPr>
      </w:pPr>
    </w:p>
    <w:p w:rsidR="00A240B6" w:rsidRPr="00ED5D3D" w:rsidRDefault="00A240B6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A240B6" w:rsidRPr="00ED5D3D" w:rsidRDefault="00A240B6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A240B6" w:rsidRPr="00ED5D3D" w:rsidRDefault="00A240B6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A240B6" w:rsidRPr="00ED5D3D" w:rsidRDefault="00A240B6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A240B6" w:rsidRPr="00ED5D3D" w:rsidRDefault="00A240B6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A240B6" w:rsidRPr="00ED5D3D" w:rsidRDefault="00A240B6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A240B6" w:rsidRPr="00ED5D3D" w:rsidRDefault="00A240B6" w:rsidP="00920BFF">
      <w:pPr>
        <w:spacing w:line="240" w:lineRule="auto"/>
        <w:jc w:val="both"/>
        <w:rPr>
          <w:b/>
          <w:bCs/>
          <w:sz w:val="24"/>
        </w:rPr>
      </w:pPr>
    </w:p>
    <w:p w:rsidR="00A240B6" w:rsidRPr="00ED5D3D" w:rsidRDefault="00A240B6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A240B6" w:rsidRPr="00ED5D3D" w:rsidRDefault="00A240B6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A240B6" w:rsidRPr="00ED5D3D" w:rsidRDefault="00A240B6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A240B6" w:rsidRPr="00ED5D3D" w:rsidRDefault="00A240B6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A240B6" w:rsidRPr="00ED5D3D" w:rsidRDefault="00A240B6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A240B6" w:rsidRPr="00ED5D3D" w:rsidRDefault="00A240B6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A240B6" w:rsidRPr="00ED5D3D" w:rsidRDefault="00A240B6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A240B6" w:rsidRPr="00ED5D3D" w:rsidRDefault="00A240B6" w:rsidP="00340A77">
      <w:pPr>
        <w:jc w:val="both"/>
        <w:rPr>
          <w:bCs/>
          <w:sz w:val="24"/>
        </w:rPr>
      </w:pPr>
    </w:p>
    <w:p w:rsidR="00A240B6" w:rsidRPr="00ED5D3D" w:rsidRDefault="00A240B6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A240B6" w:rsidRPr="00ED5D3D" w:rsidRDefault="00A240B6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A240B6" w:rsidRPr="00ED5D3D" w:rsidRDefault="00A240B6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A240B6" w:rsidRPr="00ED5D3D" w:rsidRDefault="00A240B6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A240B6" w:rsidRPr="00ED5D3D" w:rsidRDefault="00A240B6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A240B6" w:rsidRPr="00ED5D3D" w:rsidRDefault="00A240B6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A240B6" w:rsidRPr="00ED5D3D" w:rsidRDefault="00A240B6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A240B6" w:rsidRPr="00ED5D3D" w:rsidRDefault="00A240B6" w:rsidP="00C748BF">
      <w:pPr>
        <w:spacing w:line="240" w:lineRule="auto"/>
        <w:jc w:val="both"/>
      </w:pPr>
    </w:p>
    <w:sectPr w:rsidR="00A240B6" w:rsidRPr="00ED5D3D" w:rsidSect="008C00C7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B6" w:rsidRDefault="00A240B6">
      <w:r>
        <w:separator/>
      </w:r>
    </w:p>
  </w:endnote>
  <w:endnote w:type="continuationSeparator" w:id="0">
    <w:p w:rsidR="00A240B6" w:rsidRDefault="00A2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B6" w:rsidRDefault="00A240B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B6" w:rsidRDefault="00A240B6">
      <w:r>
        <w:separator/>
      </w:r>
    </w:p>
  </w:footnote>
  <w:footnote w:type="continuationSeparator" w:id="0">
    <w:p w:rsidR="00A240B6" w:rsidRDefault="00A2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B6" w:rsidRDefault="00A240B6">
    <w:pPr>
      <w:pStyle w:val="Header"/>
    </w:pPr>
    <w:r>
      <w:t>Gynekologicko-porodnická klinka 2.LF UK a FN Motol</w:t>
    </w:r>
    <w:r>
      <w:tab/>
      <w:t>IS_0696a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443F4"/>
    <w:multiLevelType w:val="hybridMultilevel"/>
    <w:tmpl w:val="F38CF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2614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3478D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847EA"/>
    <w:rsid w:val="007937C0"/>
    <w:rsid w:val="007A007F"/>
    <w:rsid w:val="007D6E9A"/>
    <w:rsid w:val="0081426B"/>
    <w:rsid w:val="00822786"/>
    <w:rsid w:val="00842DC1"/>
    <w:rsid w:val="00850634"/>
    <w:rsid w:val="00855276"/>
    <w:rsid w:val="008B283D"/>
    <w:rsid w:val="008B57E0"/>
    <w:rsid w:val="008C00C7"/>
    <w:rsid w:val="008C7515"/>
    <w:rsid w:val="008D7209"/>
    <w:rsid w:val="0090070E"/>
    <w:rsid w:val="00904367"/>
    <w:rsid w:val="0091612E"/>
    <w:rsid w:val="00920BFF"/>
    <w:rsid w:val="009211B9"/>
    <w:rsid w:val="00921988"/>
    <w:rsid w:val="0092319A"/>
    <w:rsid w:val="00964073"/>
    <w:rsid w:val="00973BDF"/>
    <w:rsid w:val="009758AC"/>
    <w:rsid w:val="009827BC"/>
    <w:rsid w:val="00992C8E"/>
    <w:rsid w:val="00996BB5"/>
    <w:rsid w:val="009A25EF"/>
    <w:rsid w:val="009B16F2"/>
    <w:rsid w:val="009B1DE0"/>
    <w:rsid w:val="009D4CDF"/>
    <w:rsid w:val="009E41AE"/>
    <w:rsid w:val="00A21BDD"/>
    <w:rsid w:val="00A240B6"/>
    <w:rsid w:val="00A67B52"/>
    <w:rsid w:val="00A9584B"/>
    <w:rsid w:val="00AA794F"/>
    <w:rsid w:val="00AD001A"/>
    <w:rsid w:val="00AD2EEE"/>
    <w:rsid w:val="00AE4B15"/>
    <w:rsid w:val="00AE7615"/>
    <w:rsid w:val="00B31542"/>
    <w:rsid w:val="00B4707C"/>
    <w:rsid w:val="00B71475"/>
    <w:rsid w:val="00BD0DA4"/>
    <w:rsid w:val="00BD5A40"/>
    <w:rsid w:val="00BF325A"/>
    <w:rsid w:val="00C007FE"/>
    <w:rsid w:val="00C03776"/>
    <w:rsid w:val="00C32287"/>
    <w:rsid w:val="00C43065"/>
    <w:rsid w:val="00C44DC9"/>
    <w:rsid w:val="00C708FE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071C5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C7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0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00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C00C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8C0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C00C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C00C7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817</Words>
  <Characters>4825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2013-09-05T13:50:00Z</cp:lastPrinted>
  <dcterms:created xsi:type="dcterms:W3CDTF">2013-08-19T15:06:00Z</dcterms:created>
  <dcterms:modified xsi:type="dcterms:W3CDTF">2013-09-18T13:55:00Z</dcterms:modified>
</cp:coreProperties>
</file>