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91" w:rsidRPr="00ED5D3D" w:rsidRDefault="00573591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4732" r:id="rId8"/>
        </w:pict>
      </w:r>
    </w:p>
    <w:p w:rsidR="00573591" w:rsidRPr="00ED5D3D" w:rsidRDefault="00573591">
      <w:pPr>
        <w:spacing w:line="240" w:lineRule="auto"/>
        <w:jc w:val="center"/>
        <w:rPr>
          <w:b/>
          <w:bCs/>
          <w:sz w:val="24"/>
        </w:rPr>
      </w:pPr>
    </w:p>
    <w:p w:rsidR="00573591" w:rsidRPr="00ED5D3D" w:rsidRDefault="00573591">
      <w:pPr>
        <w:spacing w:line="240" w:lineRule="auto"/>
        <w:jc w:val="center"/>
        <w:rPr>
          <w:b/>
          <w:bCs/>
          <w:sz w:val="24"/>
        </w:rPr>
      </w:pPr>
    </w:p>
    <w:p w:rsidR="00573591" w:rsidRPr="00ED5D3D" w:rsidRDefault="00573591">
      <w:pPr>
        <w:spacing w:line="240" w:lineRule="auto"/>
        <w:jc w:val="center"/>
        <w:rPr>
          <w:b/>
          <w:bCs/>
          <w:sz w:val="24"/>
        </w:rPr>
      </w:pPr>
    </w:p>
    <w:p w:rsidR="00573591" w:rsidRPr="00ED5D3D" w:rsidRDefault="00573591">
      <w:pPr>
        <w:spacing w:line="240" w:lineRule="auto"/>
        <w:jc w:val="center"/>
        <w:rPr>
          <w:b/>
          <w:bCs/>
          <w:sz w:val="24"/>
        </w:rPr>
      </w:pPr>
    </w:p>
    <w:p w:rsidR="00573591" w:rsidRPr="00ED5D3D" w:rsidRDefault="00573591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573591" w:rsidRPr="00ED5D3D" w:rsidRDefault="00573591">
      <w:pPr>
        <w:spacing w:line="240" w:lineRule="auto"/>
        <w:jc w:val="center"/>
        <w:rPr>
          <w:szCs w:val="22"/>
        </w:rPr>
      </w:pPr>
    </w:p>
    <w:p w:rsidR="00573591" w:rsidRPr="00ED5D3D" w:rsidRDefault="00573591">
      <w:pPr>
        <w:spacing w:line="240" w:lineRule="auto"/>
        <w:jc w:val="center"/>
        <w:rPr>
          <w:szCs w:val="22"/>
        </w:rPr>
      </w:pPr>
    </w:p>
    <w:p w:rsidR="00573591" w:rsidRPr="00ED5D3D" w:rsidRDefault="00573591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73591" w:rsidRPr="00ED5D3D" w:rsidRDefault="0057359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573591" w:rsidRPr="00ED5D3D" w:rsidRDefault="0057359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573591" w:rsidRPr="00ED5D3D" w:rsidRDefault="00573591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573591" w:rsidRPr="002C49EE" w:rsidRDefault="0057359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573591" w:rsidRPr="002C49EE" w:rsidRDefault="0057359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573591" w:rsidRPr="002C49EE" w:rsidRDefault="0057359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573591" w:rsidRPr="00ED5D3D" w:rsidRDefault="00573591">
      <w:pPr>
        <w:rPr>
          <w:b/>
          <w:sz w:val="24"/>
        </w:rPr>
      </w:pPr>
    </w:p>
    <w:p w:rsidR="00573591" w:rsidRPr="00ED5D3D" w:rsidRDefault="00573591">
      <w:pPr>
        <w:rPr>
          <w:b/>
          <w:sz w:val="24"/>
        </w:rPr>
      </w:pPr>
    </w:p>
    <w:p w:rsidR="00573591" w:rsidRPr="00ED5D3D" w:rsidRDefault="00573591">
      <w:pPr>
        <w:rPr>
          <w:b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573591" w:rsidRPr="00A02B0C" w:rsidRDefault="00573591" w:rsidP="00A02B0C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Punkce ascitu</w:t>
      </w:r>
    </w:p>
    <w:p w:rsidR="00573591" w:rsidRPr="00ED5D3D" w:rsidRDefault="00573591" w:rsidP="00F91973">
      <w:pPr>
        <w:spacing w:line="240" w:lineRule="auto"/>
        <w:jc w:val="both"/>
        <w:rPr>
          <w:bCs/>
          <w:sz w:val="24"/>
        </w:rPr>
      </w:pPr>
    </w:p>
    <w:p w:rsidR="00573591" w:rsidRPr="00ED5D3D" w:rsidRDefault="00573591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573591" w:rsidRPr="00ED5D3D" w:rsidRDefault="00573591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Patologický výpotek v břišní dutině</w:t>
      </w:r>
    </w:p>
    <w:p w:rsidR="00573591" w:rsidRPr="00ED5D3D" w:rsidRDefault="00573591" w:rsidP="00F91973">
      <w:pPr>
        <w:spacing w:line="240" w:lineRule="auto"/>
        <w:rPr>
          <w:bCs/>
          <w:sz w:val="24"/>
        </w:rPr>
      </w:pPr>
    </w:p>
    <w:p w:rsidR="00573591" w:rsidRPr="00ED5D3D" w:rsidRDefault="00573591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573591" w:rsidRPr="00A02B0C" w:rsidRDefault="00573591" w:rsidP="00A02B0C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Účelem i následkem provedení zákroku je v</w:t>
      </w:r>
      <w:r w:rsidRPr="006B5C96">
        <w:rPr>
          <w:bCs/>
          <w:sz w:val="24"/>
        </w:rPr>
        <w:t>ypuštění tekutiny z</w:t>
      </w:r>
      <w:r>
        <w:rPr>
          <w:bCs/>
          <w:sz w:val="24"/>
        </w:rPr>
        <w:t xml:space="preserve"> břišní </w:t>
      </w:r>
      <w:r w:rsidRPr="006B5C96">
        <w:rPr>
          <w:bCs/>
          <w:sz w:val="24"/>
        </w:rPr>
        <w:t xml:space="preserve">dutiny </w:t>
      </w:r>
      <w:r>
        <w:rPr>
          <w:bCs/>
          <w:sz w:val="24"/>
        </w:rPr>
        <w:t>speciálním nástrojem majícím charakter velké jehly (</w:t>
      </w:r>
      <w:r w:rsidRPr="006B5C96">
        <w:rPr>
          <w:bCs/>
          <w:sz w:val="24"/>
        </w:rPr>
        <w:t>troakarem</w:t>
      </w:r>
      <w:r>
        <w:rPr>
          <w:bCs/>
          <w:sz w:val="24"/>
        </w:rPr>
        <w:t>)</w:t>
      </w:r>
      <w:r w:rsidRPr="006B5C96">
        <w:rPr>
          <w:bCs/>
          <w:sz w:val="24"/>
        </w:rPr>
        <w:t xml:space="preserve"> </w:t>
      </w:r>
      <w:r>
        <w:rPr>
          <w:bCs/>
          <w:sz w:val="24"/>
        </w:rPr>
        <w:t xml:space="preserve">zavedeným </w:t>
      </w:r>
      <w:r w:rsidRPr="006B5C96">
        <w:rPr>
          <w:bCs/>
          <w:sz w:val="24"/>
        </w:rPr>
        <w:t xml:space="preserve">přes </w:t>
      </w:r>
      <w:r>
        <w:rPr>
          <w:bCs/>
          <w:sz w:val="24"/>
        </w:rPr>
        <w:t xml:space="preserve">břišní </w:t>
      </w:r>
      <w:r w:rsidRPr="006B5C96">
        <w:rPr>
          <w:bCs/>
          <w:sz w:val="24"/>
        </w:rPr>
        <w:t xml:space="preserve">stěnu </w:t>
      </w:r>
      <w:r>
        <w:rPr>
          <w:bCs/>
          <w:sz w:val="24"/>
        </w:rPr>
        <w:t xml:space="preserve">v lokálním znecitlivění do břišní dutiny </w:t>
      </w:r>
      <w:r w:rsidRPr="006B5C96">
        <w:rPr>
          <w:bCs/>
          <w:sz w:val="24"/>
        </w:rPr>
        <w:t>a eventuelně zavedení kat</w:t>
      </w:r>
      <w:r>
        <w:rPr>
          <w:bCs/>
          <w:sz w:val="24"/>
        </w:rPr>
        <w:t>é</w:t>
      </w:r>
      <w:r w:rsidRPr="006B5C96">
        <w:rPr>
          <w:bCs/>
          <w:sz w:val="24"/>
        </w:rPr>
        <w:t xml:space="preserve">tru pro </w:t>
      </w:r>
      <w:r>
        <w:rPr>
          <w:bCs/>
          <w:sz w:val="24"/>
        </w:rPr>
        <w:t xml:space="preserve">tzv. </w:t>
      </w:r>
      <w:r w:rsidRPr="006B5C96">
        <w:rPr>
          <w:bCs/>
          <w:sz w:val="24"/>
        </w:rPr>
        <w:t>intraperitoneální chemoterapii, je-li</w:t>
      </w:r>
      <w:r>
        <w:rPr>
          <w:bCs/>
          <w:sz w:val="24"/>
        </w:rPr>
        <w:t xml:space="preserve"> tato</w:t>
      </w:r>
      <w:r w:rsidRPr="006B5C96">
        <w:rPr>
          <w:bCs/>
          <w:sz w:val="24"/>
        </w:rPr>
        <w:t xml:space="preserve"> plánována</w:t>
      </w:r>
      <w:r>
        <w:rPr>
          <w:bCs/>
          <w:sz w:val="24"/>
        </w:rPr>
        <w:t xml:space="preserve">. Na konci zákroku se aplikuje na místo vpichu troakaru vstřebatelný steh. Prospěch zákroku spočívá zejména ve zmenšení objemu břicha s následnou úlevou při dýchání.  </w:t>
      </w:r>
    </w:p>
    <w:p w:rsidR="00573591" w:rsidRPr="00ED5D3D" w:rsidRDefault="00573591" w:rsidP="00F91973">
      <w:pPr>
        <w:spacing w:line="240" w:lineRule="auto"/>
        <w:rPr>
          <w:bCs/>
          <w:i/>
          <w:sz w:val="24"/>
        </w:rPr>
      </w:pPr>
    </w:p>
    <w:p w:rsidR="00573591" w:rsidRDefault="00573591" w:rsidP="00A02B0C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573591" w:rsidRPr="00A02B0C" w:rsidRDefault="00573591" w:rsidP="00A02B0C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573591" w:rsidRPr="006B5C96" w:rsidRDefault="00573591" w:rsidP="00A02B0C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6B5C96">
        <w:rPr>
          <w:sz w:val="24"/>
          <w:szCs w:val="24"/>
        </w:rPr>
        <w:t xml:space="preserve">poranění cévy </w:t>
      </w:r>
      <w:r>
        <w:rPr>
          <w:sz w:val="24"/>
          <w:szCs w:val="24"/>
        </w:rPr>
        <w:t xml:space="preserve">v břišní stěně </w:t>
      </w:r>
      <w:r w:rsidRPr="006B5C96">
        <w:rPr>
          <w:sz w:val="24"/>
          <w:szCs w:val="24"/>
        </w:rPr>
        <w:t>při punkci s nutností operační revize</w:t>
      </w:r>
    </w:p>
    <w:p w:rsidR="00573591" w:rsidRPr="006B5C96" w:rsidRDefault="00573591" w:rsidP="00A02B0C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>poranění orgánů v dutině břišní</w:t>
      </w:r>
    </w:p>
    <w:p w:rsidR="00573591" w:rsidRDefault="00573591" w:rsidP="00A02B0C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6B5C96">
        <w:rPr>
          <w:sz w:val="24"/>
          <w:szCs w:val="24"/>
        </w:rPr>
        <w:t>pocit nevolnosti, zvracení</w:t>
      </w:r>
    </w:p>
    <w:p w:rsidR="00573591" w:rsidRDefault="00573591" w:rsidP="00A02B0C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>zánětlivé komplikace v ráně a v dutině břišní</w:t>
      </w:r>
    </w:p>
    <w:p w:rsidR="00573591" w:rsidRDefault="00573591" w:rsidP="00A02B0C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>vytvoření metastázy nádoru v jizvě</w:t>
      </w:r>
    </w:p>
    <w:p w:rsidR="00573591" w:rsidRDefault="00573591" w:rsidP="00A02B0C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>bolesti po výkonu</w:t>
      </w:r>
    </w:p>
    <w:p w:rsidR="00573591" w:rsidRPr="006B5C96" w:rsidRDefault="00573591" w:rsidP="00A02B0C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>žilní a oběhové komplikace po výkonu</w:t>
      </w:r>
    </w:p>
    <w:p w:rsidR="00573591" w:rsidRPr="00ED5D3D" w:rsidRDefault="00573591">
      <w:pPr>
        <w:spacing w:line="240" w:lineRule="auto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573591" w:rsidRPr="00A32851" w:rsidRDefault="00573591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A32851">
        <w:rPr>
          <w:bCs/>
          <w:sz w:val="24"/>
        </w:rPr>
        <w:t>nejsou</w:t>
      </w:r>
    </w:p>
    <w:p w:rsidR="00573591" w:rsidRPr="00ED5D3D" w:rsidRDefault="00573591" w:rsidP="00855276">
      <w:pPr>
        <w:spacing w:line="240" w:lineRule="auto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573591" w:rsidRPr="00AF5A42" w:rsidRDefault="00573591" w:rsidP="00A02B0C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jsou dána základním onemocněním</w:t>
      </w:r>
    </w:p>
    <w:p w:rsidR="00573591" w:rsidRPr="00ED5D3D" w:rsidRDefault="00573591" w:rsidP="007937C0">
      <w:pPr>
        <w:spacing w:line="240" w:lineRule="auto"/>
        <w:ind w:firstLine="708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573591" w:rsidRPr="00AF5A42" w:rsidRDefault="00573591" w:rsidP="00A02B0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je dána základním onemocněním</w:t>
      </w:r>
    </w:p>
    <w:p w:rsidR="00573591" w:rsidRPr="00ED5D3D" w:rsidRDefault="00573591" w:rsidP="002B6F75">
      <w:pPr>
        <w:spacing w:line="240" w:lineRule="auto"/>
        <w:jc w:val="both"/>
        <w:rPr>
          <w:bCs/>
          <w:i/>
          <w:sz w:val="24"/>
        </w:rPr>
      </w:pPr>
    </w:p>
    <w:p w:rsidR="00573591" w:rsidRPr="00ED5D3D" w:rsidRDefault="00573591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573591" w:rsidRPr="00AF5A42" w:rsidRDefault="00573591" w:rsidP="00A02B0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je dána základním onemocněním</w:t>
      </w:r>
    </w:p>
    <w:p w:rsidR="00573591" w:rsidRPr="00ED5D3D" w:rsidRDefault="00573591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573591" w:rsidRPr="00AF5A42" w:rsidRDefault="00573591" w:rsidP="00A02B0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jsou dána základním onemocněním</w:t>
      </w:r>
    </w:p>
    <w:p w:rsidR="00573591" w:rsidRPr="00ED5D3D" w:rsidRDefault="00573591" w:rsidP="002B6F75">
      <w:pPr>
        <w:spacing w:line="240" w:lineRule="auto"/>
        <w:rPr>
          <w:b/>
          <w:bCs/>
          <w:i/>
          <w:sz w:val="24"/>
        </w:rPr>
      </w:pPr>
    </w:p>
    <w:p w:rsidR="00573591" w:rsidRPr="00ED5D3D" w:rsidRDefault="00573591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573591" w:rsidRPr="00AF5A42" w:rsidRDefault="00573591" w:rsidP="00A02B0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výkon samotný neovlivňuje zdravotní způsobilost</w:t>
      </w: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573591" w:rsidRPr="00A02B0C" w:rsidRDefault="00573591" w:rsidP="002C1741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A02B0C">
        <w:rPr>
          <w:bCs/>
          <w:sz w:val="24"/>
        </w:rPr>
        <w:t xml:space="preserve">Stehy </w:t>
      </w:r>
      <w:r>
        <w:rPr>
          <w:bCs/>
          <w:sz w:val="24"/>
        </w:rPr>
        <w:t>z břišní stě</w:t>
      </w:r>
      <w:r w:rsidRPr="00A02B0C">
        <w:rPr>
          <w:bCs/>
          <w:sz w:val="24"/>
        </w:rPr>
        <w:t>ny je nutné odstranit za 7 dnů po punkci ascitu. Ránu je možné sprchovat a mýt mýdlem od druhého dne.</w:t>
      </w: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573591" w:rsidRPr="00ED5D3D" w:rsidRDefault="00573591" w:rsidP="00E77044">
      <w:pPr>
        <w:spacing w:line="240" w:lineRule="auto"/>
        <w:ind w:left="720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</w:rPr>
      </w:pPr>
    </w:p>
    <w:p w:rsidR="00573591" w:rsidRPr="00ED5D3D" w:rsidRDefault="00573591">
      <w:pPr>
        <w:spacing w:line="240" w:lineRule="auto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573591" w:rsidRPr="00ED5D3D" w:rsidRDefault="00573591">
      <w:pPr>
        <w:spacing w:line="240" w:lineRule="auto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573591" w:rsidRPr="00ED5D3D" w:rsidRDefault="00573591" w:rsidP="00AD001A">
      <w:pPr>
        <w:spacing w:line="240" w:lineRule="auto"/>
        <w:ind w:firstLine="720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ind w:left="6300" w:hanging="6300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573591" w:rsidRPr="00ED5D3D" w:rsidRDefault="00573591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573591" w:rsidRPr="00ED5D3D" w:rsidRDefault="00573591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573591" w:rsidRPr="00ED5D3D" w:rsidRDefault="00573591">
      <w:pPr>
        <w:spacing w:line="240" w:lineRule="auto"/>
        <w:ind w:left="6300" w:hanging="6300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573591" w:rsidRPr="00ED5D3D" w:rsidRDefault="00573591">
      <w:pPr>
        <w:spacing w:line="240" w:lineRule="auto"/>
        <w:jc w:val="both"/>
        <w:rPr>
          <w:bCs/>
          <w:sz w:val="24"/>
        </w:rPr>
      </w:pPr>
    </w:p>
    <w:p w:rsidR="00573591" w:rsidRPr="00ED5D3D" w:rsidRDefault="00573591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573591" w:rsidRPr="00ED5D3D" w:rsidRDefault="00573591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573591" w:rsidRPr="00ED5D3D" w:rsidRDefault="00573591">
      <w:pPr>
        <w:spacing w:line="240" w:lineRule="auto"/>
        <w:jc w:val="both"/>
        <w:rPr>
          <w:bCs/>
          <w:sz w:val="24"/>
        </w:rPr>
      </w:pPr>
    </w:p>
    <w:p w:rsidR="00573591" w:rsidRPr="00ED5D3D" w:rsidRDefault="00573591">
      <w:pPr>
        <w:spacing w:line="240" w:lineRule="auto"/>
        <w:jc w:val="both"/>
        <w:rPr>
          <w:bCs/>
          <w:sz w:val="24"/>
        </w:rPr>
      </w:pPr>
    </w:p>
    <w:p w:rsidR="00573591" w:rsidRPr="00ED5D3D" w:rsidRDefault="00573591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573591" w:rsidRPr="00ED5D3D" w:rsidRDefault="0057359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573591" w:rsidRPr="00ED5D3D" w:rsidRDefault="0057359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573591" w:rsidRPr="00ED5D3D" w:rsidRDefault="0057359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573591" w:rsidRPr="00ED5D3D" w:rsidRDefault="00573591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573591" w:rsidRPr="00ED5D3D" w:rsidRDefault="00573591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573591" w:rsidRPr="00ED5D3D" w:rsidRDefault="00573591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573591" w:rsidRPr="00ED5D3D" w:rsidRDefault="00573591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573591" w:rsidRPr="00ED5D3D" w:rsidRDefault="00573591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573591" w:rsidRPr="00ED5D3D" w:rsidRDefault="00573591" w:rsidP="00920BFF">
      <w:pPr>
        <w:spacing w:line="240" w:lineRule="auto"/>
        <w:jc w:val="both"/>
        <w:rPr>
          <w:b/>
          <w:bCs/>
          <w:sz w:val="24"/>
        </w:rPr>
      </w:pPr>
    </w:p>
    <w:p w:rsidR="00573591" w:rsidRPr="00ED5D3D" w:rsidRDefault="00573591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573591" w:rsidRPr="00ED5D3D" w:rsidRDefault="00573591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573591" w:rsidRPr="00ED5D3D" w:rsidRDefault="00573591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573591" w:rsidRPr="00ED5D3D" w:rsidRDefault="00573591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573591" w:rsidRPr="00ED5D3D" w:rsidRDefault="00573591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573591" w:rsidRPr="00ED5D3D" w:rsidRDefault="00573591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573591" w:rsidRPr="00ED5D3D" w:rsidRDefault="00573591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573591" w:rsidRPr="00ED5D3D" w:rsidRDefault="00573591" w:rsidP="00340A77">
      <w:pPr>
        <w:jc w:val="both"/>
        <w:rPr>
          <w:bCs/>
          <w:sz w:val="24"/>
        </w:rPr>
      </w:pPr>
    </w:p>
    <w:p w:rsidR="00573591" w:rsidRPr="00ED5D3D" w:rsidRDefault="00573591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573591" w:rsidRPr="00ED5D3D" w:rsidRDefault="00573591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573591" w:rsidRPr="00ED5D3D" w:rsidRDefault="00573591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573591" w:rsidRPr="00ED5D3D" w:rsidRDefault="00573591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573591" w:rsidRPr="00ED5D3D" w:rsidRDefault="00573591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573591" w:rsidRPr="00ED5D3D" w:rsidRDefault="00573591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573591" w:rsidRPr="00ED5D3D" w:rsidRDefault="00573591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573591" w:rsidRPr="00ED5D3D" w:rsidRDefault="00573591" w:rsidP="00C748BF">
      <w:pPr>
        <w:spacing w:line="240" w:lineRule="auto"/>
        <w:jc w:val="both"/>
      </w:pPr>
    </w:p>
    <w:sectPr w:rsidR="00573591" w:rsidRPr="00ED5D3D" w:rsidSect="009E4385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91" w:rsidRDefault="00573591">
      <w:r>
        <w:separator/>
      </w:r>
    </w:p>
  </w:endnote>
  <w:endnote w:type="continuationSeparator" w:id="0">
    <w:p w:rsidR="00573591" w:rsidRDefault="00573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91" w:rsidRDefault="0057359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91" w:rsidRDefault="00573591">
      <w:r>
        <w:separator/>
      </w:r>
    </w:p>
  </w:footnote>
  <w:footnote w:type="continuationSeparator" w:id="0">
    <w:p w:rsidR="00573591" w:rsidRDefault="00573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91" w:rsidRDefault="00573591">
    <w:pPr>
      <w:pStyle w:val="Header"/>
    </w:pPr>
    <w:r>
      <w:t>Gynekologicko-porodnická klinika 2.LF UK a FN Motol</w:t>
    </w:r>
    <w:r>
      <w:tab/>
      <w:t>IS_0694a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1731A8"/>
    <w:multiLevelType w:val="hybridMultilevel"/>
    <w:tmpl w:val="B30090B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B067D"/>
    <w:rsid w:val="001042A3"/>
    <w:rsid w:val="00124A35"/>
    <w:rsid w:val="00144051"/>
    <w:rsid w:val="0014700F"/>
    <w:rsid w:val="0017537F"/>
    <w:rsid w:val="00191EA3"/>
    <w:rsid w:val="001950AA"/>
    <w:rsid w:val="00196751"/>
    <w:rsid w:val="001A7B1C"/>
    <w:rsid w:val="001C3098"/>
    <w:rsid w:val="00205700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4895"/>
    <w:rsid w:val="003F71FD"/>
    <w:rsid w:val="00413A77"/>
    <w:rsid w:val="00415FB1"/>
    <w:rsid w:val="00453C4D"/>
    <w:rsid w:val="00455A71"/>
    <w:rsid w:val="00461147"/>
    <w:rsid w:val="00464440"/>
    <w:rsid w:val="004C2A32"/>
    <w:rsid w:val="004E1076"/>
    <w:rsid w:val="004F17C0"/>
    <w:rsid w:val="004F77E0"/>
    <w:rsid w:val="00504928"/>
    <w:rsid w:val="00551601"/>
    <w:rsid w:val="00573591"/>
    <w:rsid w:val="00580960"/>
    <w:rsid w:val="0058363E"/>
    <w:rsid w:val="005878EF"/>
    <w:rsid w:val="005C7C7D"/>
    <w:rsid w:val="005F19BF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5C96"/>
    <w:rsid w:val="006B72BE"/>
    <w:rsid w:val="006E1996"/>
    <w:rsid w:val="00713AA8"/>
    <w:rsid w:val="00730C17"/>
    <w:rsid w:val="00732790"/>
    <w:rsid w:val="00745BC3"/>
    <w:rsid w:val="007847EA"/>
    <w:rsid w:val="007937C0"/>
    <w:rsid w:val="0081426B"/>
    <w:rsid w:val="00822786"/>
    <w:rsid w:val="00842DC1"/>
    <w:rsid w:val="00855276"/>
    <w:rsid w:val="008B283D"/>
    <w:rsid w:val="008B57E0"/>
    <w:rsid w:val="008C7515"/>
    <w:rsid w:val="008D7209"/>
    <w:rsid w:val="0091612E"/>
    <w:rsid w:val="00920BFF"/>
    <w:rsid w:val="009211B9"/>
    <w:rsid w:val="00921988"/>
    <w:rsid w:val="0092319A"/>
    <w:rsid w:val="00964073"/>
    <w:rsid w:val="00973BDF"/>
    <w:rsid w:val="009758AC"/>
    <w:rsid w:val="00992C8E"/>
    <w:rsid w:val="00996BB5"/>
    <w:rsid w:val="009A25EF"/>
    <w:rsid w:val="009B16F2"/>
    <w:rsid w:val="009B1DE0"/>
    <w:rsid w:val="009D4CDF"/>
    <w:rsid w:val="009E41AE"/>
    <w:rsid w:val="009E4385"/>
    <w:rsid w:val="00A02B0C"/>
    <w:rsid w:val="00A21BDD"/>
    <w:rsid w:val="00A32851"/>
    <w:rsid w:val="00A47D32"/>
    <w:rsid w:val="00A57403"/>
    <w:rsid w:val="00A67B52"/>
    <w:rsid w:val="00A9584B"/>
    <w:rsid w:val="00AA794F"/>
    <w:rsid w:val="00AD001A"/>
    <w:rsid w:val="00AD2EEE"/>
    <w:rsid w:val="00AE4B15"/>
    <w:rsid w:val="00AF5A42"/>
    <w:rsid w:val="00B31542"/>
    <w:rsid w:val="00B4707C"/>
    <w:rsid w:val="00B71475"/>
    <w:rsid w:val="00BD0DA4"/>
    <w:rsid w:val="00BD5A40"/>
    <w:rsid w:val="00C007FE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1025F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16829"/>
    <w:rsid w:val="00E34F2C"/>
    <w:rsid w:val="00E62BA9"/>
    <w:rsid w:val="00E67E45"/>
    <w:rsid w:val="00E7270C"/>
    <w:rsid w:val="00E77044"/>
    <w:rsid w:val="00EA47F8"/>
    <w:rsid w:val="00EC41F8"/>
    <w:rsid w:val="00ED5D3D"/>
    <w:rsid w:val="00EE0546"/>
    <w:rsid w:val="00F0053D"/>
    <w:rsid w:val="00F1533D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85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43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43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E438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9E4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9E438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4385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762</Words>
  <Characters>4501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2013-09-05T13:47:00Z</cp:lastPrinted>
  <dcterms:created xsi:type="dcterms:W3CDTF">2013-08-19T15:05:00Z</dcterms:created>
  <dcterms:modified xsi:type="dcterms:W3CDTF">2013-09-18T13:52:00Z</dcterms:modified>
</cp:coreProperties>
</file>