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49" w:rsidRPr="00D2057D" w:rsidRDefault="00064549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0998624" r:id="rId8"/>
        </w:pict>
      </w:r>
    </w:p>
    <w:p w:rsidR="00064549" w:rsidRPr="00D2057D" w:rsidRDefault="00064549">
      <w:pPr>
        <w:spacing w:line="240" w:lineRule="auto"/>
        <w:jc w:val="center"/>
        <w:rPr>
          <w:b/>
          <w:bCs/>
          <w:sz w:val="24"/>
        </w:rPr>
      </w:pPr>
    </w:p>
    <w:p w:rsidR="00064549" w:rsidRPr="00D2057D" w:rsidRDefault="00064549">
      <w:pPr>
        <w:spacing w:line="240" w:lineRule="auto"/>
        <w:jc w:val="center"/>
        <w:rPr>
          <w:b/>
          <w:bCs/>
          <w:sz w:val="24"/>
        </w:rPr>
      </w:pPr>
    </w:p>
    <w:p w:rsidR="00064549" w:rsidRPr="00D2057D" w:rsidRDefault="00064549">
      <w:pPr>
        <w:spacing w:line="240" w:lineRule="auto"/>
        <w:jc w:val="center"/>
        <w:rPr>
          <w:b/>
          <w:bCs/>
          <w:sz w:val="24"/>
        </w:rPr>
      </w:pPr>
    </w:p>
    <w:p w:rsidR="00064549" w:rsidRPr="00D2057D" w:rsidRDefault="00064549">
      <w:pPr>
        <w:spacing w:line="240" w:lineRule="auto"/>
        <w:jc w:val="center"/>
        <w:rPr>
          <w:b/>
          <w:bCs/>
          <w:sz w:val="24"/>
        </w:rPr>
      </w:pPr>
    </w:p>
    <w:p w:rsidR="00064549" w:rsidRPr="00D2057D" w:rsidRDefault="00064549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064549" w:rsidRPr="00D2057D" w:rsidRDefault="00064549">
      <w:pPr>
        <w:spacing w:line="240" w:lineRule="auto"/>
        <w:jc w:val="center"/>
        <w:rPr>
          <w:szCs w:val="22"/>
        </w:rPr>
      </w:pPr>
    </w:p>
    <w:p w:rsidR="00064549" w:rsidRPr="00D2057D" w:rsidRDefault="00064549">
      <w:pPr>
        <w:spacing w:line="240" w:lineRule="auto"/>
        <w:jc w:val="center"/>
        <w:rPr>
          <w:szCs w:val="22"/>
        </w:rPr>
      </w:pPr>
    </w:p>
    <w:p w:rsidR="00064549" w:rsidRPr="00D2057D" w:rsidRDefault="00064549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064549" w:rsidRPr="00D2057D" w:rsidRDefault="00064549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64549" w:rsidRPr="00D2057D" w:rsidRDefault="00064549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064549" w:rsidRPr="00D2057D" w:rsidRDefault="00064549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064549" w:rsidRPr="002C49EE" w:rsidRDefault="00064549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064549" w:rsidRPr="002C49EE" w:rsidRDefault="00064549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064549" w:rsidRPr="002C49EE" w:rsidRDefault="00064549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064549" w:rsidRPr="00D2057D" w:rsidRDefault="00064549">
      <w:pPr>
        <w:rPr>
          <w:b/>
          <w:sz w:val="24"/>
        </w:rPr>
      </w:pPr>
    </w:p>
    <w:p w:rsidR="00064549" w:rsidRPr="00D2057D" w:rsidRDefault="00064549">
      <w:pPr>
        <w:rPr>
          <w:b/>
          <w:sz w:val="24"/>
        </w:rPr>
      </w:pPr>
    </w:p>
    <w:p w:rsidR="00064549" w:rsidRPr="00D2057D" w:rsidRDefault="00064549">
      <w:pPr>
        <w:rPr>
          <w:b/>
          <w:sz w:val="24"/>
        </w:rPr>
      </w:pPr>
    </w:p>
    <w:p w:rsidR="00064549" w:rsidRPr="00D2057D" w:rsidRDefault="00064549">
      <w:pPr>
        <w:spacing w:line="240" w:lineRule="auto"/>
        <w:jc w:val="both"/>
        <w:rPr>
          <w:b/>
          <w:bCs/>
          <w:i/>
          <w:sz w:val="24"/>
        </w:rPr>
      </w:pPr>
    </w:p>
    <w:p w:rsidR="00064549" w:rsidRPr="00D2057D" w:rsidRDefault="00064549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064549" w:rsidRPr="00D2057D" w:rsidRDefault="00064549" w:rsidP="00845358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Umělé ukončení těhotenství</w:t>
      </w:r>
    </w:p>
    <w:p w:rsidR="00064549" w:rsidRPr="00D2057D" w:rsidRDefault="00064549" w:rsidP="00F91973">
      <w:pPr>
        <w:spacing w:line="240" w:lineRule="auto"/>
        <w:jc w:val="both"/>
        <w:rPr>
          <w:bCs/>
          <w:sz w:val="24"/>
        </w:rPr>
      </w:pPr>
    </w:p>
    <w:p w:rsidR="00064549" w:rsidRPr="00D2057D" w:rsidRDefault="00064549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064549" w:rsidRPr="00D2057D" w:rsidRDefault="00064549" w:rsidP="00845358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Nechtěné nitroděložní těhotenství</w:t>
      </w:r>
    </w:p>
    <w:p w:rsidR="00064549" w:rsidRPr="00D2057D" w:rsidRDefault="00064549" w:rsidP="00F91973">
      <w:pPr>
        <w:spacing w:line="240" w:lineRule="auto"/>
        <w:rPr>
          <w:bCs/>
          <w:sz w:val="24"/>
        </w:rPr>
      </w:pPr>
    </w:p>
    <w:p w:rsidR="00064549" w:rsidRPr="00D2057D" w:rsidRDefault="00064549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064549" w:rsidRPr="00D2057D" w:rsidRDefault="00064549" w:rsidP="002E54A5">
      <w:pPr>
        <w:spacing w:line="240" w:lineRule="auto"/>
        <w:jc w:val="both"/>
        <w:rPr>
          <w:b/>
          <w:bCs/>
          <w:i/>
          <w:sz w:val="24"/>
        </w:rPr>
      </w:pPr>
    </w:p>
    <w:p w:rsidR="00064549" w:rsidRPr="00845358" w:rsidRDefault="00064549" w:rsidP="00845358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Umělé ukončení těhotenství se provádí vybavením těhotenských tkání z dělohy odsátím přes rozšířené děložní hrdlo. Poté je prázdnost dutiny děložní zkontrolována tupou kyretou. Výkon je prováděn v celkové anestézii.</w:t>
      </w:r>
    </w:p>
    <w:p w:rsidR="00064549" w:rsidRPr="00D2057D" w:rsidRDefault="00064549" w:rsidP="00F91973">
      <w:pPr>
        <w:spacing w:line="240" w:lineRule="auto"/>
        <w:rPr>
          <w:bCs/>
          <w:i/>
          <w:sz w:val="24"/>
        </w:rPr>
      </w:pPr>
    </w:p>
    <w:p w:rsidR="00064549" w:rsidRDefault="00064549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</w:p>
    <w:p w:rsidR="00064549" w:rsidRPr="00CF6987" w:rsidRDefault="00064549" w:rsidP="00F91973">
      <w:pPr>
        <w:spacing w:line="240" w:lineRule="auto"/>
        <w:rPr>
          <w:bCs/>
          <w:sz w:val="24"/>
        </w:rPr>
      </w:pPr>
      <w:r>
        <w:rPr>
          <w:bCs/>
          <w:sz w:val="24"/>
        </w:rPr>
        <w:t>zejména</w:t>
      </w:r>
    </w:p>
    <w:p w:rsidR="00064549" w:rsidRPr="009D63A0" w:rsidRDefault="00064549" w:rsidP="00845358">
      <w:pPr>
        <w:numPr>
          <w:ilvl w:val="0"/>
          <w:numId w:val="8"/>
        </w:numPr>
        <w:tabs>
          <w:tab w:val="num" w:pos="567"/>
        </w:tabs>
        <w:spacing w:line="240" w:lineRule="auto"/>
        <w:ind w:left="567" w:hanging="283"/>
        <w:rPr>
          <w:sz w:val="24"/>
        </w:rPr>
      </w:pPr>
      <w:r w:rsidRPr="009D63A0">
        <w:rPr>
          <w:sz w:val="24"/>
        </w:rPr>
        <w:t>krvácení v průběhu</w:t>
      </w:r>
      <w:r>
        <w:rPr>
          <w:sz w:val="24"/>
        </w:rPr>
        <w:t xml:space="preserve"> zákroku a v pooperačním období</w:t>
      </w:r>
      <w:r w:rsidRPr="009D63A0">
        <w:rPr>
          <w:sz w:val="24"/>
        </w:rPr>
        <w:t xml:space="preserve"> </w:t>
      </w:r>
    </w:p>
    <w:p w:rsidR="00064549" w:rsidRPr="009D63A0" w:rsidRDefault="00064549" w:rsidP="00845358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9D63A0">
        <w:rPr>
          <w:sz w:val="24"/>
        </w:rPr>
        <w:t xml:space="preserve">zánětlivé komplikace </w:t>
      </w:r>
      <w:r>
        <w:rPr>
          <w:sz w:val="24"/>
        </w:rPr>
        <w:t>po operaci</w:t>
      </w:r>
    </w:p>
    <w:p w:rsidR="00064549" w:rsidRPr="006F1836" w:rsidRDefault="00064549" w:rsidP="00845358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>
        <w:rPr>
          <w:sz w:val="24"/>
          <w:szCs w:val="24"/>
        </w:rPr>
        <w:t xml:space="preserve">poranění dělohy a eventuálně i </w:t>
      </w:r>
      <w:r w:rsidRPr="006F1836">
        <w:rPr>
          <w:sz w:val="24"/>
          <w:szCs w:val="24"/>
        </w:rPr>
        <w:t xml:space="preserve">okolních orgánů </w:t>
      </w:r>
      <w:r>
        <w:rPr>
          <w:sz w:val="24"/>
          <w:szCs w:val="24"/>
        </w:rPr>
        <w:t xml:space="preserve">(zejména střeva) </w:t>
      </w:r>
      <w:r w:rsidRPr="006F1836">
        <w:rPr>
          <w:sz w:val="24"/>
          <w:szCs w:val="24"/>
        </w:rPr>
        <w:t xml:space="preserve">s nutností </w:t>
      </w:r>
      <w:r>
        <w:rPr>
          <w:sz w:val="24"/>
          <w:szCs w:val="24"/>
        </w:rPr>
        <w:t xml:space="preserve">laparoskopické či </w:t>
      </w:r>
      <w:r w:rsidRPr="006F1836">
        <w:rPr>
          <w:sz w:val="24"/>
          <w:szCs w:val="24"/>
        </w:rPr>
        <w:t>otevřené</w:t>
      </w:r>
      <w:r>
        <w:rPr>
          <w:sz w:val="24"/>
          <w:szCs w:val="24"/>
        </w:rPr>
        <w:t xml:space="preserve"> břišní </w:t>
      </w:r>
      <w:r w:rsidRPr="006F1836">
        <w:rPr>
          <w:sz w:val="24"/>
          <w:szCs w:val="24"/>
        </w:rPr>
        <w:t>operace</w:t>
      </w:r>
      <w:r>
        <w:rPr>
          <w:sz w:val="24"/>
          <w:szCs w:val="24"/>
        </w:rPr>
        <w:t xml:space="preserve"> v rozsahu nezbytně nutném za účelem vyřešení vzniklé komplikace v zájmu života a zdraví pacientky</w:t>
      </w:r>
    </w:p>
    <w:p w:rsidR="00064549" w:rsidRDefault="00064549" w:rsidP="00845358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6F1836">
        <w:rPr>
          <w:sz w:val="24"/>
        </w:rPr>
        <w:t>žilní a oběhové komplikace v pooperačním období</w:t>
      </w:r>
    </w:p>
    <w:p w:rsidR="00064549" w:rsidRPr="00D2057D" w:rsidRDefault="00064549" w:rsidP="00845358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>
        <w:rPr>
          <w:sz w:val="24"/>
        </w:rPr>
        <w:t>zůstatek části těhotenské tkáně v děloze s nutností provedení následné instrumentální revize děložní dutiny za účelem odstranění zbytků těhotenské tkáně z dělohy</w:t>
      </w:r>
    </w:p>
    <w:p w:rsidR="00064549" w:rsidRPr="00D2057D" w:rsidRDefault="00064549">
      <w:pPr>
        <w:spacing w:line="240" w:lineRule="auto"/>
        <w:jc w:val="both"/>
        <w:rPr>
          <w:bCs/>
          <w:sz w:val="24"/>
        </w:rPr>
      </w:pPr>
    </w:p>
    <w:p w:rsidR="00064549" w:rsidRPr="00D2057D" w:rsidRDefault="00064549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064549" w:rsidRPr="00845358" w:rsidRDefault="00064549" w:rsidP="00845358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ponechání těhotenství</w:t>
      </w:r>
    </w:p>
    <w:p w:rsidR="00064549" w:rsidRPr="00D2057D" w:rsidRDefault="00064549" w:rsidP="00855276">
      <w:pPr>
        <w:spacing w:line="240" w:lineRule="auto"/>
        <w:jc w:val="both"/>
        <w:rPr>
          <w:bCs/>
          <w:sz w:val="24"/>
        </w:rPr>
      </w:pPr>
    </w:p>
    <w:p w:rsidR="00064549" w:rsidRPr="00CF6987" w:rsidRDefault="00064549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064549" w:rsidRPr="00845358" w:rsidRDefault="00064549" w:rsidP="00845358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nepředpokládáme žádné omezení </w:t>
      </w:r>
    </w:p>
    <w:p w:rsidR="00064549" w:rsidRDefault="00064549" w:rsidP="007937C0">
      <w:pPr>
        <w:spacing w:line="240" w:lineRule="auto"/>
        <w:ind w:firstLine="708"/>
        <w:jc w:val="both"/>
        <w:rPr>
          <w:bCs/>
          <w:sz w:val="24"/>
        </w:rPr>
      </w:pPr>
    </w:p>
    <w:p w:rsidR="00064549" w:rsidRPr="00D2057D" w:rsidRDefault="00064549" w:rsidP="007937C0">
      <w:pPr>
        <w:spacing w:line="240" w:lineRule="auto"/>
        <w:ind w:firstLine="708"/>
        <w:jc w:val="both"/>
        <w:rPr>
          <w:bCs/>
          <w:sz w:val="24"/>
        </w:rPr>
      </w:pPr>
    </w:p>
    <w:p w:rsidR="00064549" w:rsidRPr="00D2057D" w:rsidRDefault="00064549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sz w:val="24"/>
        </w:rPr>
        <w:t xml:space="preserve"> </w:t>
      </w:r>
      <w:r w:rsidRPr="00D2057D">
        <w:rPr>
          <w:b/>
          <w:bCs/>
          <w:i/>
          <w:sz w:val="24"/>
        </w:rPr>
        <w:t xml:space="preserve">Předpokládaná doba hospitalizace: </w:t>
      </w:r>
    </w:p>
    <w:p w:rsidR="00064549" w:rsidRPr="00D2057D" w:rsidRDefault="00064549" w:rsidP="00845358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0 - 2 dny</w:t>
      </w:r>
    </w:p>
    <w:p w:rsidR="00064549" w:rsidRPr="00D2057D" w:rsidRDefault="00064549" w:rsidP="002B6F75">
      <w:pPr>
        <w:spacing w:line="240" w:lineRule="auto"/>
        <w:jc w:val="both"/>
        <w:rPr>
          <w:bCs/>
          <w:i/>
          <w:sz w:val="24"/>
        </w:rPr>
      </w:pPr>
    </w:p>
    <w:p w:rsidR="00064549" w:rsidRPr="00D2057D" w:rsidRDefault="00064549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064549" w:rsidRPr="00845358" w:rsidRDefault="00064549" w:rsidP="00845358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záleží na typu zaměstnání, cca 1 – 2 týdny</w:t>
      </w:r>
    </w:p>
    <w:p w:rsidR="00064549" w:rsidRPr="00D2057D" w:rsidRDefault="00064549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064549" w:rsidRPr="00D2057D" w:rsidRDefault="00064549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064549" w:rsidRPr="00D2057D" w:rsidRDefault="00064549" w:rsidP="00845358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krátkodobé omezení fyzické aktivity, cca 2 týdny trvající slabé krvácení z pochvy</w:t>
      </w:r>
    </w:p>
    <w:p w:rsidR="00064549" w:rsidRPr="00D2057D" w:rsidRDefault="00064549" w:rsidP="002B6F75">
      <w:pPr>
        <w:spacing w:line="240" w:lineRule="auto"/>
        <w:rPr>
          <w:b/>
          <w:bCs/>
          <w:i/>
          <w:sz w:val="24"/>
        </w:rPr>
      </w:pPr>
    </w:p>
    <w:p w:rsidR="00064549" w:rsidRPr="00D2057D" w:rsidRDefault="00064549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064549" w:rsidRPr="00D2057D" w:rsidRDefault="00064549" w:rsidP="002B6F75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beze změn</w:t>
      </w:r>
    </w:p>
    <w:p w:rsidR="00064549" w:rsidRPr="00D2057D" w:rsidRDefault="00064549">
      <w:pPr>
        <w:spacing w:line="240" w:lineRule="auto"/>
        <w:jc w:val="both"/>
        <w:rPr>
          <w:b/>
          <w:bCs/>
          <w:i/>
          <w:sz w:val="24"/>
        </w:rPr>
      </w:pPr>
    </w:p>
    <w:p w:rsidR="00064549" w:rsidRPr="00D2057D" w:rsidRDefault="00064549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064549" w:rsidRPr="00CF6987" w:rsidRDefault="00064549" w:rsidP="00CF6987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 xml:space="preserve">Po dobu </w:t>
      </w:r>
      <w:r w:rsidRPr="006F1836">
        <w:rPr>
          <w:bCs/>
          <w:sz w:val="24"/>
        </w:rPr>
        <w:t xml:space="preserve">4 týdnů je nutné vynechat pohlavní styk, není </w:t>
      </w:r>
      <w:r>
        <w:rPr>
          <w:bCs/>
          <w:sz w:val="24"/>
        </w:rPr>
        <w:t>vhodné</w:t>
      </w:r>
      <w:r w:rsidRPr="006F1836">
        <w:rPr>
          <w:bCs/>
          <w:sz w:val="24"/>
        </w:rPr>
        <w:t xml:space="preserve"> se koupat</w:t>
      </w:r>
      <w:r>
        <w:rPr>
          <w:bCs/>
          <w:sz w:val="24"/>
        </w:rPr>
        <w:t>,</w:t>
      </w:r>
      <w:r w:rsidRPr="006F1836">
        <w:rPr>
          <w:bCs/>
          <w:sz w:val="24"/>
        </w:rPr>
        <w:t xml:space="preserve"> pouze sprchovat, nesmí se zavádět do pochvy tampony. </w:t>
      </w:r>
      <w:r>
        <w:rPr>
          <w:bCs/>
          <w:sz w:val="24"/>
        </w:rPr>
        <w:t>Krvácení do síly menstruace cca týden po výkonu je možné považovat za normální. Kontrola u ošetřujícího gynekologa po operaci.</w:t>
      </w:r>
    </w:p>
    <w:p w:rsidR="00064549" w:rsidRPr="00D2057D" w:rsidRDefault="00064549">
      <w:pPr>
        <w:spacing w:line="240" w:lineRule="auto"/>
        <w:jc w:val="both"/>
        <w:rPr>
          <w:b/>
          <w:bCs/>
          <w:i/>
          <w:sz w:val="24"/>
        </w:rPr>
      </w:pPr>
    </w:p>
    <w:p w:rsidR="00064549" w:rsidRPr="00D2057D" w:rsidRDefault="00064549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064549" w:rsidRPr="00D2057D" w:rsidRDefault="00064549">
      <w:pPr>
        <w:spacing w:line="240" w:lineRule="auto"/>
        <w:jc w:val="both"/>
        <w:rPr>
          <w:b/>
          <w:bCs/>
          <w:i/>
          <w:sz w:val="24"/>
        </w:rPr>
      </w:pPr>
    </w:p>
    <w:p w:rsidR="00064549" w:rsidRPr="00D2057D" w:rsidRDefault="00064549" w:rsidP="00E77044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prohlašuje, že poskytl </w:t>
      </w:r>
      <w:r>
        <w:rPr>
          <w:bCs/>
          <w:sz w:val="24"/>
        </w:rPr>
        <w:t>pacientovi/</w:t>
      </w:r>
      <w:r w:rsidRPr="00D2057D">
        <w:rPr>
          <w:bCs/>
          <w:sz w:val="24"/>
        </w:rPr>
        <w:t xml:space="preserve">zákonnému zástupci </w:t>
      </w:r>
      <w:r>
        <w:rPr>
          <w:bCs/>
          <w:sz w:val="24"/>
        </w:rPr>
        <w:t xml:space="preserve">pacienta </w:t>
      </w:r>
      <w:r w:rsidRPr="00D2057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064549" w:rsidRPr="00D2057D" w:rsidRDefault="00064549" w:rsidP="00E77044">
      <w:pPr>
        <w:spacing w:line="240" w:lineRule="auto"/>
        <w:ind w:left="720"/>
        <w:jc w:val="both"/>
        <w:rPr>
          <w:bCs/>
          <w:sz w:val="24"/>
        </w:rPr>
      </w:pPr>
    </w:p>
    <w:p w:rsidR="00064549" w:rsidRPr="00D2057D" w:rsidRDefault="00064549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064549" w:rsidRPr="00D2057D" w:rsidRDefault="00064549">
      <w:pPr>
        <w:spacing w:line="240" w:lineRule="auto"/>
        <w:jc w:val="both"/>
        <w:rPr>
          <w:b/>
          <w:bCs/>
          <w:i/>
          <w:sz w:val="24"/>
        </w:rPr>
      </w:pPr>
    </w:p>
    <w:p w:rsidR="00064549" w:rsidRDefault="00064549">
      <w:pPr>
        <w:spacing w:line="240" w:lineRule="auto"/>
        <w:jc w:val="both"/>
        <w:rPr>
          <w:bCs/>
          <w:sz w:val="24"/>
        </w:rPr>
      </w:pPr>
    </w:p>
    <w:p w:rsidR="00064549" w:rsidRPr="00D2057D" w:rsidRDefault="00064549">
      <w:pPr>
        <w:spacing w:line="240" w:lineRule="auto"/>
        <w:jc w:val="both"/>
        <w:rPr>
          <w:b/>
          <w:bCs/>
          <w:i/>
          <w:sz w:val="24"/>
        </w:rPr>
      </w:pPr>
    </w:p>
    <w:p w:rsidR="00064549" w:rsidRDefault="00064549">
      <w:pPr>
        <w:spacing w:line="240" w:lineRule="auto"/>
        <w:jc w:val="both"/>
        <w:rPr>
          <w:b/>
          <w:bCs/>
          <w:i/>
          <w:sz w:val="24"/>
        </w:rPr>
      </w:pPr>
    </w:p>
    <w:p w:rsidR="00064549" w:rsidRPr="00D2057D" w:rsidRDefault="00064549">
      <w:pPr>
        <w:spacing w:line="240" w:lineRule="auto"/>
        <w:jc w:val="both"/>
        <w:rPr>
          <w:b/>
          <w:bCs/>
          <w:i/>
          <w:sz w:val="24"/>
        </w:rPr>
      </w:pPr>
    </w:p>
    <w:p w:rsidR="00064549" w:rsidRPr="00D2057D" w:rsidRDefault="00064549">
      <w:pPr>
        <w:spacing w:line="240" w:lineRule="auto"/>
        <w:jc w:val="both"/>
        <w:rPr>
          <w:b/>
          <w:bCs/>
          <w:i/>
          <w:sz w:val="24"/>
        </w:rPr>
      </w:pPr>
    </w:p>
    <w:p w:rsidR="00064549" w:rsidRPr="00D2057D" w:rsidRDefault="00064549">
      <w:pPr>
        <w:spacing w:line="240" w:lineRule="auto"/>
        <w:jc w:val="both"/>
        <w:rPr>
          <w:bCs/>
          <w:sz w:val="24"/>
        </w:rPr>
      </w:pPr>
    </w:p>
    <w:p w:rsidR="00064549" w:rsidRPr="00D2057D" w:rsidRDefault="00064549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064549" w:rsidRPr="00D2057D" w:rsidRDefault="00064549">
      <w:pPr>
        <w:spacing w:line="240" w:lineRule="auto"/>
        <w:jc w:val="both"/>
        <w:rPr>
          <w:bCs/>
          <w:sz w:val="24"/>
        </w:rPr>
      </w:pPr>
    </w:p>
    <w:p w:rsidR="00064549" w:rsidRPr="00D2057D" w:rsidRDefault="00064549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064549" w:rsidRDefault="00064549" w:rsidP="00AD001A">
      <w:pPr>
        <w:spacing w:line="240" w:lineRule="auto"/>
        <w:ind w:firstLine="720"/>
        <w:jc w:val="both"/>
        <w:rPr>
          <w:bCs/>
          <w:sz w:val="24"/>
        </w:rPr>
      </w:pPr>
    </w:p>
    <w:p w:rsidR="00064549" w:rsidRPr="00D2057D" w:rsidRDefault="00064549" w:rsidP="00AD001A">
      <w:pPr>
        <w:spacing w:line="240" w:lineRule="auto"/>
        <w:ind w:firstLine="720"/>
        <w:jc w:val="both"/>
        <w:rPr>
          <w:bCs/>
          <w:sz w:val="24"/>
        </w:rPr>
      </w:pPr>
    </w:p>
    <w:p w:rsidR="00064549" w:rsidRPr="00D2057D" w:rsidRDefault="00064549">
      <w:pPr>
        <w:spacing w:line="240" w:lineRule="auto"/>
        <w:ind w:left="6300" w:hanging="6300"/>
        <w:jc w:val="both"/>
        <w:rPr>
          <w:bCs/>
          <w:sz w:val="24"/>
        </w:rPr>
      </w:pPr>
    </w:p>
    <w:p w:rsidR="00064549" w:rsidRPr="00D2057D" w:rsidRDefault="00064549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064549" w:rsidRPr="00D2057D" w:rsidRDefault="00064549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064549" w:rsidRPr="00D2057D" w:rsidRDefault="00064549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064549" w:rsidRPr="00D2057D" w:rsidRDefault="00064549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064549" w:rsidRPr="00D2057D" w:rsidRDefault="00064549">
      <w:pPr>
        <w:spacing w:line="240" w:lineRule="auto"/>
        <w:jc w:val="both"/>
        <w:rPr>
          <w:bCs/>
          <w:sz w:val="24"/>
        </w:rPr>
      </w:pPr>
    </w:p>
    <w:p w:rsidR="00064549" w:rsidRDefault="00064549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</w:t>
      </w:r>
    </w:p>
    <w:p w:rsidR="00064549" w:rsidRDefault="00064549" w:rsidP="00415FB1">
      <w:pPr>
        <w:spacing w:line="240" w:lineRule="auto"/>
        <w:ind w:firstLine="720"/>
        <w:jc w:val="both"/>
        <w:rPr>
          <w:bCs/>
          <w:sz w:val="24"/>
        </w:rPr>
      </w:pPr>
    </w:p>
    <w:p w:rsidR="00064549" w:rsidRDefault="00064549" w:rsidP="00415FB1">
      <w:pPr>
        <w:spacing w:line="240" w:lineRule="auto"/>
        <w:ind w:firstLine="720"/>
        <w:jc w:val="both"/>
        <w:rPr>
          <w:bCs/>
          <w:sz w:val="24"/>
        </w:rPr>
      </w:pPr>
    </w:p>
    <w:p w:rsidR="00064549" w:rsidRPr="00D2057D" w:rsidRDefault="00064549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064549" w:rsidRPr="00D2057D" w:rsidRDefault="00064549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064549" w:rsidRDefault="00064549" w:rsidP="003716AE">
      <w:pPr>
        <w:spacing w:line="240" w:lineRule="auto"/>
        <w:ind w:firstLine="720"/>
        <w:jc w:val="both"/>
        <w:rPr>
          <w:bCs/>
          <w:sz w:val="24"/>
        </w:rPr>
      </w:pPr>
    </w:p>
    <w:p w:rsidR="00064549" w:rsidRPr="00D446E0" w:rsidRDefault="00064549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064549" w:rsidRPr="00D2057D" w:rsidRDefault="00064549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064549" w:rsidRPr="00D2057D" w:rsidRDefault="00064549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064549" w:rsidRPr="00D2057D" w:rsidRDefault="00064549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064549" w:rsidRPr="00D2057D" w:rsidRDefault="00064549">
      <w:pPr>
        <w:spacing w:line="240" w:lineRule="auto"/>
        <w:jc w:val="both"/>
        <w:rPr>
          <w:bCs/>
          <w:sz w:val="24"/>
        </w:rPr>
      </w:pPr>
    </w:p>
    <w:p w:rsidR="00064549" w:rsidRPr="00D2057D" w:rsidRDefault="00064549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064549" w:rsidRDefault="00064549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064549" w:rsidRPr="00D2057D" w:rsidRDefault="00064549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064549" w:rsidRPr="00D2057D" w:rsidRDefault="00064549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064549" w:rsidRPr="00D2057D" w:rsidRDefault="00064549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064549" w:rsidRPr="00D2057D" w:rsidRDefault="00064549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064549" w:rsidRPr="00D2057D" w:rsidRDefault="00064549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064549" w:rsidRPr="00D2057D" w:rsidRDefault="00064549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064549" w:rsidRPr="00D2057D" w:rsidRDefault="00064549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064549" w:rsidRPr="00D2057D" w:rsidRDefault="00064549">
      <w:pPr>
        <w:jc w:val="both"/>
        <w:rPr>
          <w:b/>
          <w:bCs/>
          <w:i/>
          <w:sz w:val="24"/>
          <w:u w:val="single"/>
        </w:rPr>
      </w:pPr>
    </w:p>
    <w:p w:rsidR="00064549" w:rsidRPr="00D2057D" w:rsidRDefault="00064549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064549" w:rsidRPr="00D2057D" w:rsidRDefault="00064549">
      <w:pPr>
        <w:jc w:val="both"/>
        <w:rPr>
          <w:bCs/>
          <w:sz w:val="24"/>
        </w:rPr>
      </w:pPr>
    </w:p>
    <w:p w:rsidR="00064549" w:rsidRPr="00D2057D" w:rsidRDefault="00064549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064549" w:rsidRPr="00D2057D" w:rsidRDefault="00064549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064549" w:rsidRPr="00D2057D" w:rsidRDefault="00064549">
      <w:pPr>
        <w:jc w:val="both"/>
        <w:rPr>
          <w:sz w:val="24"/>
        </w:rPr>
      </w:pPr>
    </w:p>
    <w:p w:rsidR="00064549" w:rsidRPr="00D2057D" w:rsidRDefault="00064549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064549" w:rsidRPr="00D2057D" w:rsidRDefault="00064549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064549" w:rsidRPr="00D2057D" w:rsidSect="00345704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549" w:rsidRDefault="00064549">
      <w:r>
        <w:separator/>
      </w:r>
    </w:p>
  </w:endnote>
  <w:endnote w:type="continuationSeparator" w:id="0">
    <w:p w:rsidR="00064549" w:rsidRDefault="00064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49" w:rsidRDefault="0006454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549" w:rsidRDefault="00064549">
      <w:r>
        <w:separator/>
      </w:r>
    </w:p>
  </w:footnote>
  <w:footnote w:type="continuationSeparator" w:id="0">
    <w:p w:rsidR="00064549" w:rsidRDefault="00064549">
      <w:r>
        <w:continuationSeparator/>
      </w:r>
    </w:p>
  </w:footnote>
  <w:footnote w:id="1">
    <w:p w:rsidR="00064549" w:rsidRDefault="00064549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49" w:rsidRDefault="00064549">
    <w:pPr>
      <w:pStyle w:val="Header"/>
    </w:pPr>
    <w:r>
      <w:t>Gynekologicko-porodnická klinika 2.LF UK a FN Motol</w:t>
    </w:r>
    <w:r>
      <w:tab/>
      <w:t>IS_0679ab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C4808"/>
    <w:multiLevelType w:val="hybridMultilevel"/>
    <w:tmpl w:val="1AA801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1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236A9"/>
    <w:multiLevelType w:val="hybridMultilevel"/>
    <w:tmpl w:val="BD1EDA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5"/>
  </w:num>
  <w:num w:numId="5">
    <w:abstractNumId w:val="16"/>
  </w:num>
  <w:num w:numId="6">
    <w:abstractNumId w:val="1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  <w:num w:numId="15">
    <w:abstractNumId w:val="3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32648"/>
    <w:rsid w:val="00064549"/>
    <w:rsid w:val="000716AB"/>
    <w:rsid w:val="000A3CDC"/>
    <w:rsid w:val="000A4C69"/>
    <w:rsid w:val="000B03D3"/>
    <w:rsid w:val="000B067D"/>
    <w:rsid w:val="000E45CF"/>
    <w:rsid w:val="000F389C"/>
    <w:rsid w:val="00124A35"/>
    <w:rsid w:val="0014700F"/>
    <w:rsid w:val="001743CC"/>
    <w:rsid w:val="0017537F"/>
    <w:rsid w:val="001950AA"/>
    <w:rsid w:val="00196751"/>
    <w:rsid w:val="001A7B1C"/>
    <w:rsid w:val="001C3098"/>
    <w:rsid w:val="00205700"/>
    <w:rsid w:val="00216C4C"/>
    <w:rsid w:val="0026197B"/>
    <w:rsid w:val="00264098"/>
    <w:rsid w:val="00266349"/>
    <w:rsid w:val="002707C5"/>
    <w:rsid w:val="0027374A"/>
    <w:rsid w:val="00290EAE"/>
    <w:rsid w:val="00296FF2"/>
    <w:rsid w:val="00297368"/>
    <w:rsid w:val="002B6F75"/>
    <w:rsid w:val="002C1741"/>
    <w:rsid w:val="002C49EE"/>
    <w:rsid w:val="002D5E7D"/>
    <w:rsid w:val="002D6808"/>
    <w:rsid w:val="002D7767"/>
    <w:rsid w:val="002E54A5"/>
    <w:rsid w:val="002F3573"/>
    <w:rsid w:val="00304ED1"/>
    <w:rsid w:val="003129A7"/>
    <w:rsid w:val="00315CD6"/>
    <w:rsid w:val="00317533"/>
    <w:rsid w:val="00340A77"/>
    <w:rsid w:val="00341E4F"/>
    <w:rsid w:val="00343B11"/>
    <w:rsid w:val="00345704"/>
    <w:rsid w:val="00345CCD"/>
    <w:rsid w:val="00355A7D"/>
    <w:rsid w:val="0036439E"/>
    <w:rsid w:val="003716AE"/>
    <w:rsid w:val="003E72BD"/>
    <w:rsid w:val="003E7BA0"/>
    <w:rsid w:val="003F4895"/>
    <w:rsid w:val="003F71FD"/>
    <w:rsid w:val="0040181F"/>
    <w:rsid w:val="004064C0"/>
    <w:rsid w:val="00413A77"/>
    <w:rsid w:val="00415FB1"/>
    <w:rsid w:val="004232A1"/>
    <w:rsid w:val="00431632"/>
    <w:rsid w:val="00453C4D"/>
    <w:rsid w:val="00455A71"/>
    <w:rsid w:val="00461147"/>
    <w:rsid w:val="004618F8"/>
    <w:rsid w:val="00464440"/>
    <w:rsid w:val="00481E65"/>
    <w:rsid w:val="00484CA6"/>
    <w:rsid w:val="004C2A32"/>
    <w:rsid w:val="004D689D"/>
    <w:rsid w:val="004E1076"/>
    <w:rsid w:val="004F03E0"/>
    <w:rsid w:val="004F17C0"/>
    <w:rsid w:val="004F77E0"/>
    <w:rsid w:val="00505428"/>
    <w:rsid w:val="00532F01"/>
    <w:rsid w:val="00551601"/>
    <w:rsid w:val="00580960"/>
    <w:rsid w:val="0058363E"/>
    <w:rsid w:val="005878EF"/>
    <w:rsid w:val="005C4B97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1658"/>
    <w:rsid w:val="006A5441"/>
    <w:rsid w:val="006B72BE"/>
    <w:rsid w:val="006E1996"/>
    <w:rsid w:val="006F1836"/>
    <w:rsid w:val="00713AA8"/>
    <w:rsid w:val="00730C17"/>
    <w:rsid w:val="00732790"/>
    <w:rsid w:val="00755CC7"/>
    <w:rsid w:val="00757A97"/>
    <w:rsid w:val="00772EB8"/>
    <w:rsid w:val="007847EA"/>
    <w:rsid w:val="0078619C"/>
    <w:rsid w:val="007937C0"/>
    <w:rsid w:val="00797817"/>
    <w:rsid w:val="007F0BE6"/>
    <w:rsid w:val="007F4730"/>
    <w:rsid w:val="008118D2"/>
    <w:rsid w:val="0081426B"/>
    <w:rsid w:val="00822786"/>
    <w:rsid w:val="00842DC1"/>
    <w:rsid w:val="00845358"/>
    <w:rsid w:val="00855276"/>
    <w:rsid w:val="008565B6"/>
    <w:rsid w:val="008B283D"/>
    <w:rsid w:val="008B57E0"/>
    <w:rsid w:val="008C7515"/>
    <w:rsid w:val="008D7209"/>
    <w:rsid w:val="008E627B"/>
    <w:rsid w:val="009211B9"/>
    <w:rsid w:val="00921988"/>
    <w:rsid w:val="0092319A"/>
    <w:rsid w:val="00937A2F"/>
    <w:rsid w:val="00964073"/>
    <w:rsid w:val="00973BDF"/>
    <w:rsid w:val="009758AC"/>
    <w:rsid w:val="00992C8E"/>
    <w:rsid w:val="009B16F2"/>
    <w:rsid w:val="009B1DE0"/>
    <w:rsid w:val="009D4CDF"/>
    <w:rsid w:val="009D63A0"/>
    <w:rsid w:val="009E41AE"/>
    <w:rsid w:val="00A00868"/>
    <w:rsid w:val="00A21BDD"/>
    <w:rsid w:val="00A462EB"/>
    <w:rsid w:val="00A67B52"/>
    <w:rsid w:val="00A87C45"/>
    <w:rsid w:val="00A9584B"/>
    <w:rsid w:val="00AA794F"/>
    <w:rsid w:val="00AD001A"/>
    <w:rsid w:val="00AD2EEE"/>
    <w:rsid w:val="00AE4B15"/>
    <w:rsid w:val="00B31542"/>
    <w:rsid w:val="00B41AD7"/>
    <w:rsid w:val="00B4707C"/>
    <w:rsid w:val="00B52C52"/>
    <w:rsid w:val="00B65A2A"/>
    <w:rsid w:val="00B71475"/>
    <w:rsid w:val="00B92FD7"/>
    <w:rsid w:val="00BD0DA4"/>
    <w:rsid w:val="00BD15BB"/>
    <w:rsid w:val="00BD5A40"/>
    <w:rsid w:val="00C007FE"/>
    <w:rsid w:val="00C25130"/>
    <w:rsid w:val="00C32287"/>
    <w:rsid w:val="00C43065"/>
    <w:rsid w:val="00C44DC9"/>
    <w:rsid w:val="00C72C13"/>
    <w:rsid w:val="00C80E64"/>
    <w:rsid w:val="00CB2CF5"/>
    <w:rsid w:val="00CB4FCB"/>
    <w:rsid w:val="00CC65C3"/>
    <w:rsid w:val="00CC77BA"/>
    <w:rsid w:val="00CE4AE8"/>
    <w:rsid w:val="00CF47C6"/>
    <w:rsid w:val="00CF6987"/>
    <w:rsid w:val="00D030E5"/>
    <w:rsid w:val="00D1025F"/>
    <w:rsid w:val="00D2057D"/>
    <w:rsid w:val="00D446E0"/>
    <w:rsid w:val="00D60B4B"/>
    <w:rsid w:val="00D9080F"/>
    <w:rsid w:val="00D93912"/>
    <w:rsid w:val="00DA3797"/>
    <w:rsid w:val="00DA7DF6"/>
    <w:rsid w:val="00DB348E"/>
    <w:rsid w:val="00DB3D3D"/>
    <w:rsid w:val="00DB7607"/>
    <w:rsid w:val="00DC195B"/>
    <w:rsid w:val="00DD1862"/>
    <w:rsid w:val="00DD5AF2"/>
    <w:rsid w:val="00DD691B"/>
    <w:rsid w:val="00E34F2C"/>
    <w:rsid w:val="00E62BA9"/>
    <w:rsid w:val="00E77044"/>
    <w:rsid w:val="00EA47F8"/>
    <w:rsid w:val="00EB0209"/>
    <w:rsid w:val="00EB2114"/>
    <w:rsid w:val="00EC41F8"/>
    <w:rsid w:val="00EE0546"/>
    <w:rsid w:val="00EE0AFA"/>
    <w:rsid w:val="00F2577D"/>
    <w:rsid w:val="00F25B42"/>
    <w:rsid w:val="00F41061"/>
    <w:rsid w:val="00F645A3"/>
    <w:rsid w:val="00F67C99"/>
    <w:rsid w:val="00F91973"/>
    <w:rsid w:val="00FA137D"/>
    <w:rsid w:val="00FB7E27"/>
    <w:rsid w:val="00FC1BA9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04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57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457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4570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345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34570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45704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796</Words>
  <Characters>4702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2013-09-02T18:56:00Z</cp:lastPrinted>
  <dcterms:created xsi:type="dcterms:W3CDTF">2013-08-19T15:22:00Z</dcterms:created>
  <dcterms:modified xsi:type="dcterms:W3CDTF">2013-09-18T06:37:00Z</dcterms:modified>
</cp:coreProperties>
</file>