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2E" w:rsidRDefault="000A72CA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 w:rsidRPr="000A72CA">
        <w:rPr>
          <w:noProof/>
          <w:lang w:val="en-US"/>
        </w:rPr>
        <w:pict>
          <v:rect id="Rectangle 2" o:spid="_x0000_s1026" style="position:absolute;left:0;text-align:left;margin-left:120pt;margin-top:8pt;width:213.35pt;height:80.1pt;z-index:25165824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" filled="f">
            <v:stroke startarrowwidth="narrow" startarrowlength="short" endarrowwidth="narrow" endarrowlength="short"/>
            <v:textbox inset="2.53956mm,2.53956mm,2.53956mm,2.53956mm">
              <w:txbxContent>
                <w:p w:rsidR="006500E1" w:rsidRDefault="006500E1">
                  <w:pPr>
                    <w:pStyle w:val="normal"/>
                    <w:textDirection w:val="btLr"/>
                  </w:pPr>
                </w:p>
              </w:txbxContent>
            </v:textbox>
          </v:rect>
        </w:pict>
      </w:r>
      <w:r w:rsidR="006D645D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734695" cy="79946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99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Razítko pracoviště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bookmarkStart w:id="0" w:name="_gjdgxs" w:colFirst="0" w:colLast="0"/>
      <w:bookmarkEnd w:id="0"/>
    </w:p>
    <w:p w:rsidR="0039132E" w:rsidRDefault="006D645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b/>
          <w:color w:val="000000"/>
          <w:sz w:val="28"/>
          <w:szCs w:val="28"/>
        </w:rPr>
        <w:t xml:space="preserve">Informovaný souhlas pacienta </w:t>
      </w:r>
    </w:p>
    <w:p w:rsidR="0039132E" w:rsidRDefault="006D645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bookmarkStart w:id="2" w:name="_1fob9te" w:colFirst="0" w:colLast="0"/>
      <w:bookmarkEnd w:id="2"/>
      <w:r>
        <w:rPr>
          <w:b/>
          <w:color w:val="000000"/>
          <w:sz w:val="28"/>
          <w:szCs w:val="28"/>
        </w:rPr>
        <w:t xml:space="preserve"> s poskytnutím zdravotních služeb (zdravotních výkonů) </w:t>
      </w:r>
    </w:p>
    <w:p w:rsidR="0039132E" w:rsidRDefault="0039132E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39132E" w:rsidRDefault="000A72C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0A72CA">
        <w:rPr>
          <w:noProof/>
          <w:lang w:val="en-US"/>
        </w:rPr>
        <w:pict>
          <v:rect id="Rectangle 3" o:spid="_x0000_s1027" style="position:absolute;margin-left:116pt;margin-top:1pt;width:216.75pt;height:63.7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">
            <v:stroke startarrowwidth="narrow" startarrowlength="short" endarrowwidth="narrow" endarrowlength="short"/>
            <v:textbox inset="2.53956mm,1.2694mm,2.53956mm,1.2694mm">
              <w:txbxContent>
                <w:p w:rsidR="006500E1" w:rsidRDefault="006500E1">
                  <w:pPr>
                    <w:pStyle w:val="normal"/>
                    <w:spacing w:line="360" w:lineRule="auto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Příjmení:  </w:t>
                  </w:r>
                </w:p>
                <w:p w:rsidR="006500E1" w:rsidRDefault="006500E1">
                  <w:pPr>
                    <w:pStyle w:val="normal"/>
                    <w:spacing w:line="360" w:lineRule="auto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Jméno:  </w:t>
                  </w:r>
                </w:p>
                <w:p w:rsidR="006500E1" w:rsidRDefault="006500E1">
                  <w:pPr>
                    <w:pStyle w:val="normal"/>
                    <w:spacing w:line="360" w:lineRule="auto"/>
                    <w:textDirection w:val="btL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 xml:space="preserve">RČ pacienta: </w:t>
                  </w:r>
                </w:p>
                <w:p w:rsidR="006500E1" w:rsidRDefault="006500E1">
                  <w:pPr>
                    <w:pStyle w:val="normal"/>
                    <w:spacing w:line="360" w:lineRule="auto"/>
                    <w:textDirection w:val="btLr"/>
                  </w:pPr>
                </w:p>
              </w:txbxContent>
            </v:textbox>
            <w10:wrap type="square"/>
          </v:rect>
        </w:pic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1. Název zdravotního výkonu: </w:t>
      </w:r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Subkutánní podávání </w:t>
      </w:r>
      <w:proofErr w:type="spellStart"/>
      <w:r>
        <w:rPr>
          <w:color w:val="000000"/>
          <w:sz w:val="24"/>
          <w:szCs w:val="24"/>
        </w:rPr>
        <w:t>blokátoru</w:t>
      </w:r>
      <w:proofErr w:type="spellEnd"/>
      <w:r>
        <w:rPr>
          <w:color w:val="000000"/>
          <w:sz w:val="24"/>
          <w:szCs w:val="24"/>
        </w:rPr>
        <w:t xml:space="preserve"> TNF - </w:t>
      </w:r>
      <w:proofErr w:type="spellStart"/>
      <w:r>
        <w:rPr>
          <w:color w:val="000000"/>
          <w:sz w:val="24"/>
          <w:szCs w:val="24"/>
        </w:rPr>
        <w:t>etanercept</w:t>
      </w:r>
      <w:proofErr w:type="spellEnd"/>
      <w:r>
        <w:rPr>
          <w:color w:val="000000"/>
          <w:sz w:val="24"/>
          <w:szCs w:val="24"/>
        </w:rPr>
        <w:t xml:space="preserve"> v rámci individuálního léčebného postupu </w:t>
      </w:r>
      <w:r w:rsidR="00F03C62">
        <w:rPr>
          <w:color w:val="000000"/>
          <w:sz w:val="24"/>
          <w:szCs w:val="24"/>
        </w:rPr>
        <w:t>(</w:t>
      </w:r>
      <w:proofErr w:type="spellStart"/>
      <w:r w:rsidR="00F03C62">
        <w:rPr>
          <w:color w:val="000000"/>
          <w:sz w:val="24"/>
          <w:szCs w:val="24"/>
        </w:rPr>
        <w:t>Enbrel</w:t>
      </w:r>
      <w:proofErr w:type="spellEnd"/>
      <w:r w:rsidR="00F03C62">
        <w:rPr>
          <w:color w:val="000000"/>
          <w:sz w:val="24"/>
          <w:szCs w:val="24"/>
        </w:rPr>
        <w:t xml:space="preserve"> = jeden z firemních názvů léku)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2. Diagnóza, která vede k provedení zdravotního výkonu: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deficit adenosin deaminázy 2 (DADA2)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Jedná se o vzácné onemocnění z okruhu </w:t>
      </w:r>
      <w:proofErr w:type="spellStart"/>
      <w:r>
        <w:rPr>
          <w:color w:val="000000"/>
          <w:sz w:val="24"/>
          <w:szCs w:val="24"/>
        </w:rPr>
        <w:t>autoinflamatorních</w:t>
      </w:r>
      <w:proofErr w:type="spellEnd"/>
      <w:r>
        <w:rPr>
          <w:color w:val="000000"/>
          <w:sz w:val="24"/>
          <w:szCs w:val="24"/>
        </w:rPr>
        <w:t xml:space="preserve"> onemocnění a primárních </w:t>
      </w:r>
      <w:proofErr w:type="spellStart"/>
      <w:r>
        <w:rPr>
          <w:color w:val="000000"/>
          <w:sz w:val="24"/>
          <w:szCs w:val="24"/>
        </w:rPr>
        <w:t>imunodeficitů</w:t>
      </w:r>
      <w:proofErr w:type="spellEnd"/>
      <w:r>
        <w:rPr>
          <w:color w:val="000000"/>
          <w:sz w:val="24"/>
          <w:szCs w:val="24"/>
        </w:rPr>
        <w:t>, dosud bylo diagnostik</w:t>
      </w:r>
      <w:r>
        <w:rPr>
          <w:sz w:val="24"/>
          <w:szCs w:val="24"/>
        </w:rPr>
        <w:t>ová</w:t>
      </w:r>
      <w:r>
        <w:rPr>
          <w:color w:val="000000"/>
          <w:sz w:val="24"/>
          <w:szCs w:val="24"/>
        </w:rPr>
        <w:t>no jen několik desítek jednotlivců s</w:t>
      </w:r>
      <w:r w:rsidR="00F03C62">
        <w:rPr>
          <w:color w:val="000000"/>
          <w:sz w:val="24"/>
          <w:szCs w:val="24"/>
        </w:rPr>
        <w:t> různým klinickým obrazem</w:t>
      </w:r>
      <w:r>
        <w:rPr>
          <w:color w:val="000000"/>
          <w:sz w:val="24"/>
          <w:szCs w:val="24"/>
        </w:rPr>
        <w:t xml:space="preserve">. Podstatou onemocnění je absence ADA2 v plazmě, což vede k poruše degradace nukleových kyselin v extracelulárním prostoru a nadměrné aktivaci imunitního systému v kombinaci s rozvojem autoimunit a </w:t>
      </w:r>
      <w:proofErr w:type="spellStart"/>
      <w:r>
        <w:rPr>
          <w:color w:val="000000"/>
          <w:sz w:val="24"/>
          <w:szCs w:val="24"/>
        </w:rPr>
        <w:t>imunodeficitu</w:t>
      </w:r>
      <w:proofErr w:type="spellEnd"/>
      <w:r>
        <w:rPr>
          <w:color w:val="000000"/>
          <w:sz w:val="24"/>
          <w:szCs w:val="24"/>
        </w:rPr>
        <w:t xml:space="preserve">. Jedním z nejvíce postižených míst je </w:t>
      </w:r>
      <w:r w:rsidR="00F03C62">
        <w:rPr>
          <w:color w:val="000000"/>
          <w:sz w:val="24"/>
          <w:szCs w:val="24"/>
        </w:rPr>
        <w:t>cévní stěna</w:t>
      </w:r>
      <w:r>
        <w:rPr>
          <w:color w:val="000000"/>
          <w:sz w:val="24"/>
          <w:szCs w:val="24"/>
        </w:rPr>
        <w:t>.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3. Informace o potřebném zdravotním výkonu, včetně údaje o jeho účelu, povaze, předpokládaném prospěchu a následcích: 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Etanercept</w:t>
      </w:r>
      <w:proofErr w:type="spellEnd"/>
      <w:r>
        <w:rPr>
          <w:color w:val="000000"/>
          <w:sz w:val="24"/>
          <w:szCs w:val="24"/>
        </w:rPr>
        <w:t xml:space="preserve"> je </w:t>
      </w:r>
      <w:proofErr w:type="spellStart"/>
      <w:r>
        <w:rPr>
          <w:color w:val="000000"/>
          <w:sz w:val="24"/>
          <w:szCs w:val="24"/>
        </w:rPr>
        <w:t>solubilní</w:t>
      </w:r>
      <w:proofErr w:type="spellEnd"/>
      <w:r>
        <w:rPr>
          <w:color w:val="000000"/>
          <w:sz w:val="24"/>
          <w:szCs w:val="24"/>
        </w:rPr>
        <w:t xml:space="preserve"> receptor zánětlivého </w:t>
      </w:r>
      <w:proofErr w:type="spellStart"/>
      <w:r>
        <w:rPr>
          <w:color w:val="000000"/>
          <w:sz w:val="24"/>
          <w:szCs w:val="24"/>
        </w:rPr>
        <w:t>cytokinu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“tumor nekrotizujícího faktoru alfa”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TNFa</w:t>
      </w:r>
      <w:proofErr w:type="spellEnd"/>
      <w:r>
        <w:rPr>
          <w:color w:val="000000"/>
          <w:sz w:val="24"/>
          <w:szCs w:val="24"/>
        </w:rPr>
        <w:t xml:space="preserve">), </w:t>
      </w:r>
      <w:r>
        <w:rPr>
          <w:sz w:val="24"/>
          <w:szCs w:val="24"/>
        </w:rPr>
        <w:t xml:space="preserve">což vede k obecně protizánětlivému efektu a modulaci buněčné imunitní </w:t>
      </w:r>
      <w:proofErr w:type="gramStart"/>
      <w:r>
        <w:rPr>
          <w:sz w:val="24"/>
          <w:szCs w:val="24"/>
        </w:rPr>
        <w:t>odpovědi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. Zjednodušeně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TNFa</w:t>
      </w:r>
      <w:proofErr w:type="spellEnd"/>
      <w:r>
        <w:rPr>
          <w:sz w:val="24"/>
          <w:szCs w:val="24"/>
        </w:rPr>
        <w:t xml:space="preserve"> je chemická látka v těle, která se podílí na vyvolání a udržování zánětu a </w:t>
      </w:r>
      <w:proofErr w:type="spellStart"/>
      <w:r>
        <w:rPr>
          <w:sz w:val="24"/>
          <w:szCs w:val="24"/>
        </w:rPr>
        <w:t>Etanercept</w:t>
      </w:r>
      <w:proofErr w:type="spellEnd"/>
      <w:r>
        <w:rPr>
          <w:sz w:val="24"/>
          <w:szCs w:val="24"/>
        </w:rPr>
        <w:t xml:space="preserve"> je lék, který tomu zabraňuje. Tento lék je v České republice registrován a široce využíván k léčbě dětí s revmatologickým onemocněním, kde je efektivní a je dobře snášen.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Etanercept</w:t>
      </w:r>
      <w:proofErr w:type="spellEnd"/>
      <w:r>
        <w:rPr>
          <w:sz w:val="24"/>
          <w:szCs w:val="24"/>
        </w:rPr>
        <w:t xml:space="preserve"> není vzhledem k vzácnému výskytu DADA2 v České republice pro toto onemocnění registrován. Na základě aktuální dostupné literatury se </w:t>
      </w:r>
      <w:proofErr w:type="spellStart"/>
      <w:r>
        <w:rPr>
          <w:sz w:val="24"/>
          <w:szCs w:val="24"/>
        </w:rPr>
        <w:t>blokátory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TNFa</w:t>
      </w:r>
      <w:proofErr w:type="spellEnd"/>
      <w:r>
        <w:rPr>
          <w:sz w:val="24"/>
          <w:szCs w:val="24"/>
        </w:rPr>
        <w:t xml:space="preserve"> jeví jako nejvíce efektivní k potlačení zánětlivých projevů spojených s tímto onemocněním, ale širší lékové studie u pacientů s DADA2 prozatím chybí. </w:t>
      </w:r>
      <w:r>
        <w:rPr>
          <w:color w:val="000000"/>
          <w:sz w:val="24"/>
          <w:szCs w:val="24"/>
        </w:rPr>
        <w:t xml:space="preserve">Cílem terapie je maximálně potlačit zánět v již existujících zánětlivých ložiscích v cévách mozku a předejít </w:t>
      </w:r>
      <w:r w:rsidR="00EB64A7">
        <w:rPr>
          <w:color w:val="000000"/>
          <w:sz w:val="24"/>
          <w:szCs w:val="24"/>
        </w:rPr>
        <w:t xml:space="preserve">rozvoji nových zánětlivých ložisek a </w:t>
      </w:r>
      <w:r>
        <w:rPr>
          <w:color w:val="000000"/>
          <w:sz w:val="24"/>
          <w:szCs w:val="24"/>
        </w:rPr>
        <w:t>recidivě ischemické nebo krvácivé centrální mozkové př</w:t>
      </w:r>
      <w:r>
        <w:rPr>
          <w:sz w:val="24"/>
          <w:szCs w:val="24"/>
        </w:rPr>
        <w:t>í</w:t>
      </w:r>
      <w:r>
        <w:rPr>
          <w:color w:val="000000"/>
          <w:sz w:val="24"/>
          <w:szCs w:val="24"/>
        </w:rPr>
        <w:t>hody.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Před zahájením léčby </w:t>
      </w:r>
      <w:proofErr w:type="spellStart"/>
      <w:r>
        <w:rPr>
          <w:color w:val="000000"/>
          <w:sz w:val="24"/>
          <w:szCs w:val="24"/>
        </w:rPr>
        <w:t>anti</w:t>
      </w:r>
      <w:proofErr w:type="spellEnd"/>
      <w:r>
        <w:rPr>
          <w:color w:val="000000"/>
          <w:sz w:val="24"/>
          <w:szCs w:val="24"/>
        </w:rPr>
        <w:t xml:space="preserve"> TNF je potřeba vyloučit u pacienta aktivní nebo latentní onemocnění tuberkulózou provedením </w:t>
      </w:r>
      <w:proofErr w:type="spellStart"/>
      <w:r>
        <w:rPr>
          <w:color w:val="000000"/>
          <w:sz w:val="24"/>
          <w:szCs w:val="24"/>
        </w:rPr>
        <w:t>rtg</w:t>
      </w:r>
      <w:proofErr w:type="spellEnd"/>
      <w:r>
        <w:rPr>
          <w:color w:val="000000"/>
          <w:sz w:val="24"/>
          <w:szCs w:val="24"/>
        </w:rPr>
        <w:t xml:space="preserve"> hrudníku, </w:t>
      </w:r>
      <w:proofErr w:type="spellStart"/>
      <w:r>
        <w:rPr>
          <w:color w:val="000000"/>
          <w:sz w:val="24"/>
          <w:szCs w:val="24"/>
        </w:rPr>
        <w:t>Mantoux</w:t>
      </w:r>
      <w:proofErr w:type="spellEnd"/>
      <w:r>
        <w:rPr>
          <w:color w:val="000000"/>
          <w:sz w:val="24"/>
          <w:szCs w:val="24"/>
        </w:rPr>
        <w:t xml:space="preserve"> II testu a vyšetřením </w:t>
      </w:r>
      <w:proofErr w:type="spellStart"/>
      <w:r>
        <w:rPr>
          <w:color w:val="000000"/>
          <w:sz w:val="24"/>
          <w:szCs w:val="24"/>
        </w:rPr>
        <w:t>Quantiferonu</w:t>
      </w:r>
      <w:proofErr w:type="spellEnd"/>
      <w:r>
        <w:rPr>
          <w:color w:val="000000"/>
          <w:sz w:val="24"/>
          <w:szCs w:val="24"/>
        </w:rPr>
        <w:t>.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6B27" w:rsidRDefault="00AB6B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6B27" w:rsidRDefault="00AB6B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6B27" w:rsidRDefault="00AB6B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6B27" w:rsidRDefault="00AB6B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6B27" w:rsidRDefault="00AB6B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4. Rizika zdravotního výkonu: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Etanercept</w:t>
      </w:r>
      <w:proofErr w:type="spellEnd"/>
      <w:r>
        <w:rPr>
          <w:color w:val="000000"/>
          <w:sz w:val="24"/>
          <w:szCs w:val="24"/>
        </w:rPr>
        <w:t xml:space="preserve"> patří mezi imunosupresivní léky, používá se úspěšně v léčbě řady revmatických chorob u dětí i dospělých. Jeho podávání však může být spojeno s několika vedlejšími účinky, mezi které patří zejména</w:t>
      </w:r>
      <w:r>
        <w:rPr>
          <w:b/>
          <w:color w:val="000000"/>
          <w:sz w:val="24"/>
          <w:szCs w:val="24"/>
        </w:rPr>
        <w:t>:</w:t>
      </w:r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Zvýšený výskyt infekcí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Pacienti mají být vyšetřeni na infekce před zahájením, v průběhu a po ukončení léčení přípravkem</w:t>
      </w:r>
      <w:r w:rsidR="00F03C62">
        <w:rPr>
          <w:color w:val="000000"/>
          <w:sz w:val="24"/>
          <w:szCs w:val="24"/>
        </w:rPr>
        <w:t xml:space="preserve">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přičemž je třeba brát v úvahu, že průměrný poločas vylučování </w:t>
      </w:r>
      <w:proofErr w:type="spellStart"/>
      <w:r>
        <w:rPr>
          <w:color w:val="000000"/>
          <w:sz w:val="24"/>
          <w:szCs w:val="24"/>
        </w:rPr>
        <w:t>etanerceptu</w:t>
      </w:r>
      <w:proofErr w:type="spellEnd"/>
      <w:r>
        <w:rPr>
          <w:color w:val="000000"/>
          <w:sz w:val="24"/>
          <w:szCs w:val="24"/>
        </w:rPr>
        <w:t xml:space="preserve"> je přibližně 70 hodin (rozmezí 7-300 hodin).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Při používání přípravku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byly pozorovány závažné infekce, sepse, tuberkulóza a oportunní infekce, včetně invazivních plísňových infekcí, listerióza a </w:t>
      </w:r>
      <w:proofErr w:type="spellStart"/>
      <w:r>
        <w:rPr>
          <w:color w:val="000000"/>
          <w:sz w:val="24"/>
          <w:szCs w:val="24"/>
        </w:rPr>
        <w:t>legionelóza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Pacienty, u kterých se v průběhu podávání přípravku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rozvine infekce, je třeba přísně</w:t>
      </w:r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monitorovat. Jestliže se u pacienta rozvíjí závažná infekce, má být přípravek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vysazen.</w:t>
      </w:r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Tuberkulóza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pacientů léčených přípravkem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byly hlášeny případy aktivní tuberkulózy včetně miliární a </w:t>
      </w:r>
      <w:proofErr w:type="spellStart"/>
      <w:r>
        <w:rPr>
          <w:color w:val="000000"/>
          <w:sz w:val="24"/>
          <w:szCs w:val="24"/>
        </w:rPr>
        <w:t>extrapulmonální</w:t>
      </w:r>
      <w:proofErr w:type="spellEnd"/>
      <w:r>
        <w:rPr>
          <w:color w:val="000000"/>
          <w:sz w:val="24"/>
          <w:szCs w:val="24"/>
        </w:rPr>
        <w:t xml:space="preserve"> tuberkulózy.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Před zahájením léčení musí být všichni pacienti vyšetřeni na aktivní a inaktivní (latentní) tuberkulózu. Při pozitivní diagnóze aktivní tuberkulózy se nesmí terapie přípravkem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zahájit. Pokud je diagnostikována inaktivní (latentní) tuberkulóza, </w:t>
      </w:r>
      <w:proofErr w:type="spellStart"/>
      <w:r>
        <w:rPr>
          <w:color w:val="000000"/>
          <w:sz w:val="24"/>
          <w:szCs w:val="24"/>
        </w:rPr>
        <w:t>antituberkulózní</w:t>
      </w:r>
      <w:proofErr w:type="spellEnd"/>
      <w:r>
        <w:rPr>
          <w:color w:val="000000"/>
          <w:sz w:val="24"/>
          <w:szCs w:val="24"/>
        </w:rPr>
        <w:t xml:space="preserve"> léčba latentní tuberkulózy musí být zahájena před začátkem terapie přípravkem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 v souladu s místními doporučeními. </w:t>
      </w:r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Reaktivace hepatitidy B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pacientů, kteří byli v minulosti infikováni virem hepatitidy B (HBV) a léčeni souběžně antagonisty TNF včetně přípravku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>
        <w:rPr>
          <w:color w:val="000000"/>
          <w:sz w:val="24"/>
          <w:szCs w:val="24"/>
        </w:rPr>
        <w:t xml:space="preserve">, byla hlášena reaktivace hepatitidy B. Před zahájením léčby přípravkem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se musí u pacientů provést test na infekci HBV. U pacientů s pozitivním výsledkem testu na infekci HBV se doporučuje konzultace s lékařem, který je odborníkem v léčbě hepatitidy B. Při podávání přípravku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pacientům, kteří byli v minulosti infikováni HBV, je třeba opatrnosti. Tito pacienti musí být po celou dobu léčby a několik týdnů po jejím ukončení sledováni na známky a příznaky aktivní infekce HBV. </w:t>
      </w:r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Zhoršení hepatitidy C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pacientů léčených přípravkem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bylo hlášeno zhoršení hepatitidy C.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má být podáván s opatrností u pacientů s hepatitidou C v anamnéze.</w:t>
      </w:r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Alergické reakce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Běžně byly pozorovány alergické reakce spojené s podáváním přípravku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>
        <w:rPr>
          <w:color w:val="000000"/>
          <w:sz w:val="24"/>
          <w:szCs w:val="24"/>
        </w:rPr>
        <w:t xml:space="preserve">. Při používání přípravku alergické reakce zahrnovaly </w:t>
      </w:r>
      <w:r w:rsidR="00F03C62">
        <w:rPr>
          <w:color w:val="000000"/>
          <w:sz w:val="24"/>
          <w:szCs w:val="24"/>
        </w:rPr>
        <w:t xml:space="preserve">otok </w:t>
      </w:r>
      <w:r>
        <w:rPr>
          <w:color w:val="000000"/>
          <w:sz w:val="24"/>
          <w:szCs w:val="24"/>
        </w:rPr>
        <w:t xml:space="preserve">a kopřivku, jakož i závažné </w:t>
      </w:r>
      <w:r w:rsidR="00F03C62">
        <w:rPr>
          <w:color w:val="000000"/>
          <w:sz w:val="24"/>
          <w:szCs w:val="24"/>
        </w:rPr>
        <w:t xml:space="preserve">alergické </w:t>
      </w:r>
      <w:r>
        <w:rPr>
          <w:color w:val="000000"/>
          <w:sz w:val="24"/>
          <w:szCs w:val="24"/>
        </w:rPr>
        <w:t>reakce</w:t>
      </w:r>
      <w:r w:rsidR="00557254">
        <w:rPr>
          <w:color w:val="000000"/>
          <w:sz w:val="24"/>
          <w:szCs w:val="24"/>
        </w:rPr>
        <w:t xml:space="preserve"> (s celkovým otokem, vyrážkou, zhoršením dechu, teplotou)</w:t>
      </w:r>
      <w:r>
        <w:rPr>
          <w:color w:val="000000"/>
          <w:sz w:val="24"/>
          <w:szCs w:val="24"/>
        </w:rPr>
        <w:t>.</w:t>
      </w:r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Vyskytne-li se závažná alergická nebo anafylaktická reakce, léčení přípravkem </w:t>
      </w:r>
      <w:proofErr w:type="spellStart"/>
      <w:r w:rsidR="006500E1">
        <w:rPr>
          <w:color w:val="000000"/>
          <w:sz w:val="24"/>
          <w:szCs w:val="24"/>
        </w:rPr>
        <w:t>etanercept</w:t>
      </w:r>
      <w:proofErr w:type="spellEnd"/>
      <w:r w:rsidR="006500E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má být</w:t>
      </w:r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okamžitě přerušeno a má být zahájena adekvátní terapie.</w:t>
      </w:r>
    </w:p>
    <w:p w:rsidR="0039132E" w:rsidRDefault="00F03C6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Potlačení imunity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Protože TNF ovlivňuje protizánětlivý proces a moduluje buněčnou imunitní odpověď, je možné, že antagonisté TNF, včetně přípravku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>
        <w:rPr>
          <w:color w:val="000000"/>
          <w:sz w:val="24"/>
          <w:szCs w:val="24"/>
        </w:rPr>
        <w:t xml:space="preserve">, ovlivní přirozenou ochranu proti infekcím a </w:t>
      </w:r>
      <w:r w:rsidR="00F03C62">
        <w:rPr>
          <w:color w:val="000000"/>
          <w:sz w:val="24"/>
          <w:szCs w:val="24"/>
        </w:rPr>
        <w:t>nádorovým onemocněním</w:t>
      </w:r>
      <w:r>
        <w:rPr>
          <w:color w:val="000000"/>
          <w:sz w:val="24"/>
          <w:szCs w:val="24"/>
        </w:rPr>
        <w:t>.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Pacienti s výraznou expozicí viru </w:t>
      </w:r>
      <w:r w:rsidR="00F03C62">
        <w:rPr>
          <w:color w:val="000000"/>
          <w:sz w:val="24"/>
          <w:szCs w:val="24"/>
        </w:rPr>
        <w:t xml:space="preserve">neštovic </w:t>
      </w:r>
      <w:r>
        <w:rPr>
          <w:color w:val="000000"/>
          <w:sz w:val="24"/>
          <w:szCs w:val="24"/>
        </w:rPr>
        <w:t xml:space="preserve">musí dočasně přerušit léčení a je třeba u nich zvážit profylaktickou léčbu imunoglobulinem proti </w:t>
      </w:r>
      <w:r w:rsidR="00F03C62">
        <w:rPr>
          <w:color w:val="000000"/>
          <w:sz w:val="24"/>
          <w:szCs w:val="24"/>
        </w:rPr>
        <w:t>viru neštovic</w:t>
      </w:r>
      <w:r>
        <w:rPr>
          <w:color w:val="000000"/>
          <w:sz w:val="24"/>
          <w:szCs w:val="24"/>
        </w:rPr>
        <w:t>.</w:t>
      </w:r>
    </w:p>
    <w:p w:rsidR="002117B5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Bezpečnost a účinnost přípravku </w:t>
      </w:r>
      <w:proofErr w:type="spellStart"/>
      <w:r w:rsidR="00F03C62">
        <w:rPr>
          <w:color w:val="000000"/>
          <w:sz w:val="24"/>
          <w:szCs w:val="24"/>
        </w:rPr>
        <w:t>etanercept</w:t>
      </w:r>
      <w:proofErr w:type="spellEnd"/>
      <w:r w:rsidR="00F03C6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 pacientů se sníženou imunitou nebyla hodnocena.</w:t>
      </w:r>
    </w:p>
    <w:p w:rsidR="0039132E" w:rsidRDefault="00F03C62" w:rsidP="002117B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Zhoubné </w:t>
      </w:r>
      <w:r w:rsidR="006D645D">
        <w:rPr>
          <w:color w:val="000000"/>
          <w:sz w:val="24"/>
          <w:szCs w:val="24"/>
        </w:rPr>
        <w:t>nádory</w:t>
      </w:r>
      <w:r w:rsidR="006500E1">
        <w:rPr>
          <w:color w:val="000000"/>
          <w:sz w:val="24"/>
          <w:szCs w:val="24"/>
        </w:rPr>
        <w:t xml:space="preserve"> (vč. zhoubných nádorů kůže)</w:t>
      </w:r>
      <w:r w:rsidR="006D645D">
        <w:rPr>
          <w:color w:val="000000"/>
          <w:sz w:val="24"/>
          <w:szCs w:val="24"/>
        </w:rPr>
        <w:t xml:space="preserve"> a onemocnění </w:t>
      </w:r>
      <w:r>
        <w:rPr>
          <w:color w:val="000000"/>
          <w:sz w:val="24"/>
          <w:szCs w:val="24"/>
        </w:rPr>
        <w:t xml:space="preserve">krevních buněk a lymfatických orgánů </w:t>
      </w:r>
      <w:r w:rsidR="006D645D">
        <w:rPr>
          <w:color w:val="000000"/>
          <w:sz w:val="24"/>
          <w:szCs w:val="24"/>
        </w:rPr>
        <w:t xml:space="preserve">- </w:t>
      </w:r>
      <w:r w:rsidR="006D645D">
        <w:rPr>
          <w:sz w:val="24"/>
          <w:szCs w:val="24"/>
        </w:rPr>
        <w:t xml:space="preserve">u pacientů s DADA2 nebyly studie zaměřené na výskyt malignit prováděny, nelze se tedy spolehlivě k této otázce vyjádřit. Vzhledem k základní povaze onemocnění DADA2 nelze vyloučit ani obecně zvýšené riziko tvorby </w:t>
      </w:r>
      <w:r w:rsidR="006D645D">
        <w:rPr>
          <w:sz w:val="24"/>
          <w:szCs w:val="24"/>
        </w:rPr>
        <w:lastRenderedPageBreak/>
        <w:t xml:space="preserve">malignit u tohoto onemocnění a to bez ohledu na léčbu. Následující informace jsou převzaty od pacientů léčených pro revmatologická onemocnění a mají informativní </w:t>
      </w:r>
      <w:proofErr w:type="gramStart"/>
      <w:r w:rsidR="006D645D">
        <w:rPr>
          <w:sz w:val="24"/>
          <w:szCs w:val="24"/>
        </w:rPr>
        <w:t xml:space="preserve">charakter </w:t>
      </w:r>
      <w:r w:rsidR="006D645D">
        <w:rPr>
          <w:color w:val="000000"/>
          <w:sz w:val="24"/>
          <w:szCs w:val="24"/>
        </w:rPr>
        <w:t>:</w:t>
      </w:r>
      <w:proofErr w:type="gramEnd"/>
    </w:p>
    <w:p w:rsidR="0039132E" w:rsidRDefault="00F03C62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Zhoubné nádory </w:t>
      </w:r>
      <w:r w:rsidR="006500E1">
        <w:rPr>
          <w:i/>
          <w:color w:val="000000"/>
          <w:sz w:val="24"/>
          <w:szCs w:val="24"/>
        </w:rPr>
        <w:t>vč. onemocnění krevních buněk a lymfatických orgánů</w:t>
      </w:r>
      <w:r w:rsidR="006D645D">
        <w:rPr>
          <w:i/>
          <w:color w:val="000000"/>
          <w:sz w:val="24"/>
          <w:szCs w:val="24"/>
        </w:rPr>
        <w:t xml:space="preserve"> (s vyloučením karcinomů kůže)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kontrolovaných částech klinických studií s antagonisty TNF bylo u pacientů léčených antagonisty TNF pozorováno více případů lymfomů</w:t>
      </w:r>
      <w:r w:rsidR="00C72BF3">
        <w:rPr>
          <w:color w:val="000000"/>
          <w:sz w:val="24"/>
          <w:szCs w:val="24"/>
        </w:rPr>
        <w:t xml:space="preserve"> (tj. nádorů mízní tkáně)</w:t>
      </w:r>
      <w:r>
        <w:rPr>
          <w:color w:val="000000"/>
          <w:sz w:val="24"/>
          <w:szCs w:val="24"/>
        </w:rPr>
        <w:t xml:space="preserve"> než u kontrolních pacientů. Jejich výskyt však byl vzácný a období sledování pacientů léčených placebem bylo kratší než u pacientů, léčených antagonisty TNF.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 uvedení přípravku na trh byly u pacientů léčených antagonisty TNF hlášeny případy leukémie. Zvýšené riziko vzniku lymfomu a leukémie je u pacientů s revmatoidní artritidou při dlouhotrvajícím průběhu a vysoké aktivitě zánětlivého onemocnění předpokládané, což komplikuje odhad rizika. Při zvažování</w:t>
      </w:r>
      <w:r>
        <w:rPr>
          <w:sz w:val="24"/>
          <w:szCs w:val="24"/>
        </w:rPr>
        <w:t xml:space="preserve"> t</w:t>
      </w:r>
      <w:r>
        <w:rPr>
          <w:color w:val="000000"/>
          <w:sz w:val="24"/>
          <w:szCs w:val="24"/>
        </w:rPr>
        <w:t>erapie antagonisty TNF u pacientů s maligním nádorovým onemocněním v anamnéze nebo při zvažování pokračování léčby u pacientů, u kterých se rozvine maligní nádor, je třeba zvýšené opatrnosti. Riziko rozvoje malignit u dětí a dospívajících léčených antagonisty TNF nelze vyloučit.</w:t>
      </w:r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Karcinomy kůže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pacientů léčených antagonisty TNF, včetně přípravku </w:t>
      </w:r>
      <w:proofErr w:type="spellStart"/>
      <w:r w:rsidR="00C72BF3">
        <w:rPr>
          <w:color w:val="000000"/>
          <w:sz w:val="24"/>
          <w:szCs w:val="24"/>
        </w:rPr>
        <w:t>etanercept</w:t>
      </w:r>
      <w:proofErr w:type="spellEnd"/>
      <w:r>
        <w:rPr>
          <w:color w:val="000000"/>
          <w:sz w:val="24"/>
          <w:szCs w:val="24"/>
        </w:rPr>
        <w:t xml:space="preserve">, byly hlášeny případy melanomu a </w:t>
      </w:r>
      <w:proofErr w:type="spellStart"/>
      <w:r>
        <w:rPr>
          <w:color w:val="000000"/>
          <w:sz w:val="24"/>
          <w:szCs w:val="24"/>
        </w:rPr>
        <w:t>nemelanomového</w:t>
      </w:r>
      <w:proofErr w:type="spellEnd"/>
      <w:r>
        <w:rPr>
          <w:color w:val="000000"/>
          <w:sz w:val="24"/>
          <w:szCs w:val="24"/>
        </w:rPr>
        <w:t xml:space="preserve"> karcinomu kůže (NMSC). U všech pacientů, zejména u těch s rizikovými faktory pro vznik karcinomu kůže, se doporučuje pravidelné vyšetření kůže. Ze společných výsledků kontrolovaných klinických studií bylo pozorováno více případů NMSC u pacientů léčených přípravkem </w:t>
      </w:r>
      <w:proofErr w:type="spellStart"/>
      <w:r w:rsidR="00C72BF3">
        <w:rPr>
          <w:color w:val="000000"/>
          <w:sz w:val="24"/>
          <w:szCs w:val="24"/>
        </w:rPr>
        <w:t>etanercept</w:t>
      </w:r>
      <w:proofErr w:type="spellEnd"/>
      <w:r w:rsidR="00C72B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v porovnání s kontrolními pacienty, obzvláště u pacientů s </w:t>
      </w:r>
      <w:proofErr w:type="spellStart"/>
      <w:r w:rsidR="00C72BF3">
        <w:rPr>
          <w:color w:val="000000"/>
          <w:sz w:val="24"/>
          <w:szCs w:val="24"/>
        </w:rPr>
        <w:t>lupénkou</w:t>
      </w:r>
      <w:proofErr w:type="spellEnd"/>
      <w:r>
        <w:rPr>
          <w:color w:val="000000"/>
          <w:sz w:val="24"/>
          <w:szCs w:val="24"/>
        </w:rPr>
        <w:t>.</w:t>
      </w:r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Očkování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Současně s přípravkem </w:t>
      </w:r>
      <w:proofErr w:type="spellStart"/>
      <w:r w:rsidR="00C72BF3">
        <w:rPr>
          <w:color w:val="000000"/>
          <w:sz w:val="24"/>
          <w:szCs w:val="24"/>
        </w:rPr>
        <w:t>etanercept</w:t>
      </w:r>
      <w:proofErr w:type="spellEnd"/>
      <w:r w:rsidR="00C72B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nesmí být podávány živé vakcíny. Údaje o sekundárním přenosu infekce živými vakcínami u pacientů léčených přípravkem </w:t>
      </w:r>
      <w:proofErr w:type="spellStart"/>
      <w:r w:rsidR="00C72BF3">
        <w:rPr>
          <w:color w:val="000000"/>
          <w:sz w:val="24"/>
          <w:szCs w:val="24"/>
        </w:rPr>
        <w:t>etanercept</w:t>
      </w:r>
      <w:proofErr w:type="spellEnd"/>
      <w:r w:rsidR="00C72B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nejsou k dispozici.</w:t>
      </w:r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Tvorba autoprotilátek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Léčení přípravkem </w:t>
      </w:r>
      <w:proofErr w:type="spellStart"/>
      <w:r w:rsidR="00C72BF3">
        <w:rPr>
          <w:color w:val="000000"/>
          <w:sz w:val="24"/>
          <w:szCs w:val="24"/>
        </w:rPr>
        <w:t>e</w:t>
      </w:r>
      <w:r w:rsidR="006500E1">
        <w:rPr>
          <w:color w:val="000000"/>
          <w:sz w:val="24"/>
          <w:szCs w:val="24"/>
        </w:rPr>
        <w:t>ntanercept</w:t>
      </w:r>
      <w:proofErr w:type="spellEnd"/>
      <w:r w:rsidR="00C72B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může vést k tvorbě </w:t>
      </w:r>
      <w:proofErr w:type="gramStart"/>
      <w:r>
        <w:rPr>
          <w:color w:val="000000"/>
          <w:sz w:val="24"/>
          <w:szCs w:val="24"/>
        </w:rPr>
        <w:t>autoprotilátek .</w:t>
      </w:r>
      <w:proofErr w:type="gramEnd"/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Hematologické reakce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 pacientů léčených přípravkem </w:t>
      </w:r>
      <w:proofErr w:type="spellStart"/>
      <w:r w:rsidR="00C72BF3">
        <w:rPr>
          <w:color w:val="000000"/>
          <w:sz w:val="24"/>
          <w:szCs w:val="24"/>
        </w:rPr>
        <w:t>etanercept</w:t>
      </w:r>
      <w:proofErr w:type="spellEnd"/>
      <w:r w:rsidR="00C72B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byly vzácně zjištěny případy </w:t>
      </w:r>
      <w:r w:rsidR="00C72BF3">
        <w:rPr>
          <w:color w:val="000000"/>
          <w:sz w:val="24"/>
          <w:szCs w:val="24"/>
        </w:rPr>
        <w:t xml:space="preserve">poklesu počtu krevních </w:t>
      </w:r>
      <w:proofErr w:type="gramStart"/>
      <w:r w:rsidR="00C72BF3">
        <w:rPr>
          <w:color w:val="000000"/>
          <w:sz w:val="24"/>
          <w:szCs w:val="24"/>
        </w:rPr>
        <w:t xml:space="preserve">buněk  </w:t>
      </w:r>
      <w:r>
        <w:rPr>
          <w:color w:val="000000"/>
          <w:sz w:val="24"/>
          <w:szCs w:val="24"/>
        </w:rPr>
        <w:t>a velmi</w:t>
      </w:r>
      <w:proofErr w:type="gramEnd"/>
      <w:r>
        <w:rPr>
          <w:color w:val="000000"/>
          <w:sz w:val="24"/>
          <w:szCs w:val="24"/>
        </w:rPr>
        <w:t xml:space="preserve"> vzácně případy aplastické anemie</w:t>
      </w:r>
      <w:r w:rsidR="00C72BF3">
        <w:rPr>
          <w:color w:val="000000"/>
          <w:sz w:val="24"/>
          <w:szCs w:val="24"/>
        </w:rPr>
        <w:t xml:space="preserve"> s úmrtím</w:t>
      </w:r>
      <w:r>
        <w:rPr>
          <w:color w:val="000000"/>
          <w:sz w:val="24"/>
          <w:szCs w:val="24"/>
        </w:rPr>
        <w:t xml:space="preserve">. Pozornost musí být věnována pacientům, kteří mají v anamnéze krevní </w:t>
      </w:r>
      <w:r w:rsidR="00C72BF3">
        <w:rPr>
          <w:color w:val="000000"/>
          <w:sz w:val="24"/>
          <w:szCs w:val="24"/>
        </w:rPr>
        <w:t>onemocnění</w:t>
      </w:r>
      <w:r>
        <w:rPr>
          <w:color w:val="000000"/>
          <w:sz w:val="24"/>
          <w:szCs w:val="24"/>
        </w:rPr>
        <w:t xml:space="preserve">. </w:t>
      </w:r>
      <w:r w:rsidR="000B032E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>acient</w:t>
      </w:r>
      <w:r w:rsidR="000B032E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léčen</w:t>
      </w:r>
      <w:r w:rsidR="000B032E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přípravkem </w:t>
      </w:r>
      <w:proofErr w:type="spellStart"/>
      <w:r w:rsidR="00C72BF3">
        <w:rPr>
          <w:color w:val="000000"/>
          <w:sz w:val="24"/>
          <w:szCs w:val="24"/>
        </w:rPr>
        <w:t>etanercept</w:t>
      </w:r>
      <w:proofErr w:type="spellEnd"/>
      <w:r w:rsidR="00C72B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rodiče/pečovatel</w:t>
      </w:r>
      <w:r w:rsidR="000B032E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 w:rsidR="000B032E">
        <w:rPr>
          <w:color w:val="000000"/>
          <w:sz w:val="24"/>
          <w:szCs w:val="24"/>
        </w:rPr>
        <w:t>jsou tímto</w:t>
      </w:r>
      <w:r>
        <w:rPr>
          <w:color w:val="000000"/>
          <w:sz w:val="24"/>
          <w:szCs w:val="24"/>
        </w:rPr>
        <w:t xml:space="preserve"> upozorněni, aby neprodleně vyhledali lékařskou pomoc </w:t>
      </w:r>
      <w:r w:rsidR="00951F3D">
        <w:rPr>
          <w:color w:val="000000"/>
          <w:sz w:val="24"/>
          <w:szCs w:val="24"/>
        </w:rPr>
        <w:t xml:space="preserve">zejména </w:t>
      </w:r>
      <w:r>
        <w:rPr>
          <w:color w:val="000000"/>
          <w:sz w:val="24"/>
          <w:szCs w:val="24"/>
        </w:rPr>
        <w:t xml:space="preserve">v případě rozvoje známek a příznaků připomínajících </w:t>
      </w:r>
      <w:r w:rsidR="00C72BF3">
        <w:rPr>
          <w:color w:val="000000"/>
          <w:sz w:val="24"/>
          <w:szCs w:val="24"/>
        </w:rPr>
        <w:t xml:space="preserve">krevní onemocnění nebo </w:t>
      </w:r>
      <w:r>
        <w:rPr>
          <w:color w:val="000000"/>
          <w:sz w:val="24"/>
          <w:szCs w:val="24"/>
        </w:rPr>
        <w:t>infekci (např. přetrvávání horečky, bolest v krku, podlitiny, krvácení, bledost). Tito pacienti musí být bezodkladně vyšetřeni, včetně vyšetření úplného krevního obrazu; při potvrzení krevní</w:t>
      </w:r>
      <w:r w:rsidR="00C72BF3">
        <w:rPr>
          <w:color w:val="000000"/>
          <w:sz w:val="24"/>
          <w:szCs w:val="24"/>
        </w:rPr>
        <w:t xml:space="preserve">ho onemocnění </w:t>
      </w:r>
      <w:r>
        <w:rPr>
          <w:color w:val="000000"/>
          <w:sz w:val="24"/>
          <w:szCs w:val="24"/>
        </w:rPr>
        <w:t xml:space="preserve">musí být </w:t>
      </w:r>
      <w:proofErr w:type="spellStart"/>
      <w:r w:rsidR="00C72BF3">
        <w:rPr>
          <w:color w:val="000000"/>
          <w:sz w:val="24"/>
          <w:szCs w:val="24"/>
        </w:rPr>
        <w:t>etanercept</w:t>
      </w:r>
      <w:proofErr w:type="spellEnd"/>
      <w:r w:rsidR="00C72B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vysazen.</w:t>
      </w:r>
    </w:p>
    <w:p w:rsidR="0039132E" w:rsidRDefault="006D645D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Neurologické poruchy</w:t>
      </w:r>
    </w:p>
    <w:p w:rsidR="00951F3D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Vzácně byly u pacientů léčených přípravkem </w:t>
      </w:r>
      <w:proofErr w:type="spellStart"/>
      <w:r w:rsidR="00C72BF3">
        <w:rPr>
          <w:color w:val="000000"/>
          <w:sz w:val="24"/>
          <w:szCs w:val="24"/>
        </w:rPr>
        <w:t>etanercept</w:t>
      </w:r>
      <w:proofErr w:type="spellEnd"/>
      <w:r w:rsidR="00C72B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zaznamenány poruchy</w:t>
      </w:r>
      <w:r w:rsidR="00C72BF3">
        <w:rPr>
          <w:color w:val="000000"/>
          <w:sz w:val="24"/>
          <w:szCs w:val="24"/>
        </w:rPr>
        <w:t xml:space="preserve"> bílé hmoty mozku, míchy a periferních nervů (tzv.</w:t>
      </w:r>
      <w:r w:rsidR="006500E1">
        <w:rPr>
          <w:color w:val="000000"/>
          <w:sz w:val="24"/>
          <w:szCs w:val="24"/>
        </w:rPr>
        <w:t xml:space="preserve"> </w:t>
      </w:r>
      <w:proofErr w:type="spellStart"/>
      <w:r w:rsidR="00C72BF3">
        <w:rPr>
          <w:color w:val="000000"/>
          <w:sz w:val="24"/>
          <w:szCs w:val="24"/>
        </w:rPr>
        <w:t>demyelinizační</w:t>
      </w:r>
      <w:proofErr w:type="spellEnd"/>
      <w:r w:rsidR="00C72BF3">
        <w:rPr>
          <w:color w:val="000000"/>
          <w:sz w:val="24"/>
          <w:szCs w:val="24"/>
        </w:rPr>
        <w:t xml:space="preserve"> onemocnění). </w:t>
      </w:r>
      <w:r>
        <w:rPr>
          <w:color w:val="000000"/>
          <w:sz w:val="24"/>
          <w:szCs w:val="24"/>
        </w:rPr>
        <w:t xml:space="preserve">Přestože nebyly provedeny klinické studie podávání přípravku </w:t>
      </w:r>
      <w:proofErr w:type="spellStart"/>
      <w:r w:rsidR="00C72BF3">
        <w:rPr>
          <w:color w:val="000000"/>
          <w:sz w:val="24"/>
          <w:szCs w:val="24"/>
        </w:rPr>
        <w:t>etanercept</w:t>
      </w:r>
      <w:proofErr w:type="spellEnd"/>
      <w:r w:rsidR="00C72B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pacientům s roztroušenou sklerózou, klinické studie jiných antagonistů TNF u pacientů s roztroušenou sklerózou prokázaly zvýšení aktivity onemocnění. Při zvažování podávání přípravku </w:t>
      </w:r>
      <w:proofErr w:type="spellStart"/>
      <w:r w:rsidR="006500E1">
        <w:rPr>
          <w:color w:val="000000"/>
          <w:sz w:val="24"/>
          <w:szCs w:val="24"/>
        </w:rPr>
        <w:t>etanercept</w:t>
      </w:r>
      <w:proofErr w:type="spellEnd"/>
      <w:r w:rsidR="006500E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pacientům se stávající nebo nově objevenou </w:t>
      </w:r>
      <w:proofErr w:type="spellStart"/>
      <w:r>
        <w:rPr>
          <w:color w:val="000000"/>
          <w:sz w:val="24"/>
          <w:szCs w:val="24"/>
        </w:rPr>
        <w:t>demyelinizační</w:t>
      </w:r>
      <w:proofErr w:type="spellEnd"/>
      <w:r>
        <w:rPr>
          <w:color w:val="000000"/>
          <w:sz w:val="24"/>
          <w:szCs w:val="24"/>
        </w:rPr>
        <w:t xml:space="preserve"> poruchou, nebo pacientům, u nichž je možno uvažovat o zvýšeném riziku rozvoje </w:t>
      </w:r>
      <w:proofErr w:type="spellStart"/>
      <w:r>
        <w:rPr>
          <w:color w:val="000000"/>
          <w:sz w:val="24"/>
          <w:szCs w:val="24"/>
        </w:rPr>
        <w:t>demyelinizační</w:t>
      </w:r>
      <w:proofErr w:type="spellEnd"/>
      <w:r>
        <w:rPr>
          <w:color w:val="000000"/>
          <w:sz w:val="24"/>
          <w:szCs w:val="24"/>
        </w:rPr>
        <w:t xml:space="preserve"> poruchy, je potřeba pečlivě vyhodnotit možná rizika a výhody terapie, včetně neurologického posouzení.</w:t>
      </w:r>
      <w:r w:rsidR="00951F3D">
        <w:rPr>
          <w:color w:val="000000"/>
          <w:sz w:val="24"/>
          <w:szCs w:val="24"/>
        </w:rPr>
        <w:t xml:space="preserve"> </w:t>
      </w:r>
    </w:p>
    <w:p w:rsidR="0039132E" w:rsidRDefault="00951F3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případě jakýchkoli obtíží neprodleně kontaktovat lékaře. </w:t>
      </w:r>
    </w:p>
    <w:p w:rsidR="000B032E" w:rsidRDefault="000B03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6B27" w:rsidRDefault="00AB6B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6B27" w:rsidRDefault="00AB6B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6B27" w:rsidRDefault="00AB6B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B6B27" w:rsidRDefault="00AB6B2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i/>
          <w:color w:val="000000"/>
          <w:sz w:val="24"/>
          <w:szCs w:val="24"/>
        </w:rPr>
        <w:lastRenderedPageBreak/>
        <w:t xml:space="preserve">5. Alternativy zdravotního výkonu: 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5715F" w:rsidRPr="00F06697" w:rsidRDefault="006500E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  <w:r w:rsidRPr="00F06697">
        <w:rPr>
          <w:i/>
          <w:sz w:val="24"/>
          <w:szCs w:val="24"/>
        </w:rPr>
        <w:t>uvést možnosti u konkrétního pacienta</w:t>
      </w:r>
      <w:r w:rsidR="00881B6B">
        <w:rPr>
          <w:i/>
          <w:sz w:val="24"/>
          <w:szCs w:val="24"/>
        </w:rPr>
        <w:t xml:space="preserve">! </w:t>
      </w:r>
    </w:p>
    <w:p w:rsidR="0025715F" w:rsidRDefault="002571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5715F" w:rsidRDefault="002571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5715F" w:rsidRDefault="002571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5715F" w:rsidRDefault="002571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25715F" w:rsidRDefault="0025715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6. Údaje o možném omezení v obvyklém způsobu života a v pracovní schopnosti po provedení příslušného zdravotního výkonu, lze-li takové omezení předpokládat; v </w:t>
      </w:r>
      <w:proofErr w:type="gramStart"/>
      <w:r>
        <w:rPr>
          <w:b/>
          <w:i/>
          <w:color w:val="000000"/>
          <w:sz w:val="24"/>
          <w:szCs w:val="24"/>
        </w:rPr>
        <w:t>případě  možné</w:t>
      </w:r>
      <w:proofErr w:type="gramEnd"/>
      <w:r>
        <w:rPr>
          <w:b/>
          <w:i/>
          <w:color w:val="000000"/>
          <w:sz w:val="24"/>
          <w:szCs w:val="24"/>
        </w:rPr>
        <w:t xml:space="preserve">  nebo očekávané změny zdravotního stavu též údaje o změnách zdravotní způsobilosti: 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průběhu léčby </w:t>
      </w:r>
      <w:proofErr w:type="spellStart"/>
      <w:r>
        <w:rPr>
          <w:color w:val="000000"/>
          <w:sz w:val="24"/>
          <w:szCs w:val="24"/>
        </w:rPr>
        <w:t>etanerceptem</w:t>
      </w:r>
      <w:proofErr w:type="spellEnd"/>
      <w:r>
        <w:rPr>
          <w:color w:val="000000"/>
          <w:sz w:val="24"/>
          <w:szCs w:val="24"/>
        </w:rPr>
        <w:t xml:space="preserve"> se pravidelně kontroluj</w:t>
      </w:r>
      <w:r w:rsidR="000B032E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krevní obraz, jaterní a renální parametry minimálně každé 3 měsíce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průběhu léčby </w:t>
      </w:r>
      <w:proofErr w:type="spellStart"/>
      <w:r>
        <w:rPr>
          <w:color w:val="000000"/>
          <w:sz w:val="24"/>
          <w:szCs w:val="24"/>
        </w:rPr>
        <w:t>etanerceptem</w:t>
      </w:r>
      <w:proofErr w:type="spellEnd"/>
      <w:r>
        <w:rPr>
          <w:color w:val="000000"/>
          <w:sz w:val="24"/>
          <w:szCs w:val="24"/>
        </w:rPr>
        <w:t xml:space="preserve"> není vhodné podávat živé očkovací látky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 průběhu léčby </w:t>
      </w:r>
      <w:proofErr w:type="spellStart"/>
      <w:r>
        <w:rPr>
          <w:color w:val="000000"/>
          <w:sz w:val="24"/>
          <w:szCs w:val="24"/>
        </w:rPr>
        <w:t>etanerceptem</w:t>
      </w:r>
      <w:proofErr w:type="spellEnd"/>
      <w:r>
        <w:rPr>
          <w:color w:val="000000"/>
          <w:sz w:val="24"/>
          <w:szCs w:val="24"/>
        </w:rPr>
        <w:t xml:space="preserve"> je potřeba léčit důsledně všechna infekční onemocnění, v případě akutního febrilního </w:t>
      </w:r>
      <w:proofErr w:type="spellStart"/>
      <w:r>
        <w:rPr>
          <w:color w:val="000000"/>
          <w:sz w:val="24"/>
          <w:szCs w:val="24"/>
        </w:rPr>
        <w:t>infektu</w:t>
      </w:r>
      <w:proofErr w:type="spellEnd"/>
      <w:r>
        <w:rPr>
          <w:color w:val="000000"/>
          <w:sz w:val="24"/>
          <w:szCs w:val="24"/>
        </w:rPr>
        <w:t xml:space="preserve"> se podávání </w:t>
      </w:r>
      <w:proofErr w:type="spellStart"/>
      <w:r>
        <w:rPr>
          <w:color w:val="000000"/>
          <w:sz w:val="24"/>
          <w:szCs w:val="24"/>
        </w:rPr>
        <w:t>etanerceptu</w:t>
      </w:r>
      <w:proofErr w:type="spellEnd"/>
      <w:r>
        <w:rPr>
          <w:color w:val="000000"/>
          <w:sz w:val="24"/>
          <w:szCs w:val="24"/>
        </w:rPr>
        <w:t xml:space="preserve"> přerušuje do odeznění </w:t>
      </w:r>
      <w:proofErr w:type="spellStart"/>
      <w:r>
        <w:rPr>
          <w:color w:val="000000"/>
          <w:sz w:val="24"/>
          <w:szCs w:val="24"/>
        </w:rPr>
        <w:t>infektu</w:t>
      </w:r>
      <w:proofErr w:type="spellEnd"/>
      <w:r>
        <w:rPr>
          <w:color w:val="000000"/>
          <w:sz w:val="24"/>
          <w:szCs w:val="24"/>
        </w:rPr>
        <w:t xml:space="preserve"> nebo ukončení léčby antibiotiky.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Předpokládaná doba hospitalizace: </w:t>
      </w:r>
    </w:p>
    <w:p w:rsidR="0039132E" w:rsidRDefault="00AB6B27" w:rsidP="00F06697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první dávka léčiva je aplikována při hospitalizaci</w:t>
      </w:r>
      <w:r w:rsidR="00881B6B">
        <w:rPr>
          <w:color w:val="000000"/>
          <w:sz w:val="24"/>
          <w:szCs w:val="24"/>
        </w:rPr>
        <w:t xml:space="preserve"> v přibližné době trvání 7 dnů</w:t>
      </w:r>
      <w:r w:rsidR="00F0669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další dávky budou aplikovány ambulantně </w:t>
      </w:r>
    </w:p>
    <w:p w:rsidR="00F06697" w:rsidRDefault="00F06697" w:rsidP="00F06697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Předpokládaná doba trvání pracovní neschopnosti:</w:t>
      </w:r>
    </w:p>
    <w:p w:rsidR="0039132E" w:rsidRDefault="006D645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je dána povahou základního onemocnění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Předpokládaná omezení v běžném způsobu života:</w:t>
      </w:r>
    </w:p>
    <w:p w:rsidR="0039132E" w:rsidRDefault="006D645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jsou dána povahou základního onemocnění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Předpokládané změny zdravotní způsobilosti:</w:t>
      </w:r>
    </w:p>
    <w:p w:rsidR="0039132E" w:rsidRDefault="006D645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jsou dány povahou základního onemocnění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7. Údaje o léčebném režimu a preventivních opatřeních, která jsou vhodná, a údaje o poskytnutí dalších zdravotních služeb (zdravotních výkonů): 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Viz bod 4 a 6.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8. Poučení pacienta: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Pacient má právo se svobodně rozhodnout o postupu při poskytování zdravotních služeb, pokud právní předpisy toto právo nevylučují.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6500E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9</w:t>
      </w:r>
      <w:r w:rsidR="006D645D">
        <w:rPr>
          <w:b/>
          <w:i/>
          <w:color w:val="000000"/>
          <w:sz w:val="24"/>
          <w:szCs w:val="24"/>
        </w:rPr>
        <w:t>. Odpovědi na doplňující otázky pacienta/ zákonného zástupce pacienta: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lastRenderedPageBreak/>
        <w:t>Prohlášení lékaře: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Prohlašuji, že jsem výše uvedeného pacienta/zákonného zástupce pacienta srozumitelným způsobem a v dostatečném rozsahu informoval o jeho zdravotním stavu/o zdravotním stavu osoby jím zastupované a o veškerých shora uvedených skutečnostech, o navrženém individuálním léčebném postupu a všech jeho změnách, včetně upozornění na možné komplikace. </w:t>
      </w:r>
    </w:p>
    <w:p w:rsidR="0039132E" w:rsidRDefault="0039132E">
      <w:pPr>
        <w:pStyle w:val="normal"/>
        <w:pBdr>
          <w:top w:val="nil"/>
          <w:left w:val="nil"/>
          <w:bottom w:val="nil"/>
          <w:right w:val="nil"/>
          <w:between w:val="nil"/>
        </w:pBdr>
        <w:ind w:left="6300" w:hanging="6300"/>
        <w:jc w:val="both"/>
        <w:rPr>
          <w:color w:val="000000"/>
          <w:sz w:val="24"/>
          <w:szCs w:val="24"/>
        </w:rPr>
      </w:pP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ind w:left="6300" w:hanging="6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Praze, dne…………….</w:t>
      </w:r>
      <w:r>
        <w:rPr>
          <w:color w:val="000000"/>
          <w:sz w:val="24"/>
          <w:szCs w:val="24"/>
        </w:rPr>
        <w:tab/>
        <w:t>……………………………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ind w:left="63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Podpis a jmenovka lékaře                                                                                                                   </w:t>
      </w:r>
    </w:p>
    <w:p w:rsidR="0039132E" w:rsidRDefault="006D645D">
      <w:pPr>
        <w:pStyle w:val="normal"/>
        <w:pBdr>
          <w:top w:val="nil"/>
          <w:left w:val="nil"/>
          <w:bottom w:val="nil"/>
          <w:right w:val="nil"/>
          <w:between w:val="nil"/>
        </w:pBdr>
        <w:ind w:left="6300" w:hanging="63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4"/>
          <w:szCs w:val="24"/>
          <w:u w:val="single"/>
          <w:lang w:val="en-US"/>
        </w:rPr>
      </w:pPr>
      <w:proofErr w:type="spellStart"/>
      <w:r>
        <w:rPr>
          <w:b/>
          <w:bCs/>
          <w:i/>
          <w:iCs/>
          <w:sz w:val="24"/>
          <w:szCs w:val="24"/>
          <w:u w:val="single"/>
          <w:lang w:val="en-US"/>
        </w:rPr>
        <w:t>Prohlášení</w:t>
      </w:r>
      <w:proofErr w:type="spellEnd"/>
      <w:r>
        <w:rPr>
          <w:b/>
          <w:bCs/>
          <w:i/>
          <w:iCs/>
          <w:sz w:val="24"/>
          <w:szCs w:val="24"/>
          <w:u w:val="single"/>
          <w:lang w:val="en-US"/>
        </w:rPr>
        <w:t xml:space="preserve"> a </w:t>
      </w:r>
      <w:proofErr w:type="spellStart"/>
      <w:r>
        <w:rPr>
          <w:b/>
          <w:bCs/>
          <w:i/>
          <w:iCs/>
          <w:sz w:val="24"/>
          <w:szCs w:val="24"/>
          <w:u w:val="single"/>
          <w:lang w:val="en-US"/>
        </w:rPr>
        <w:t>souhlas</w:t>
      </w:r>
      <w:proofErr w:type="spellEnd"/>
      <w:r>
        <w:rPr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  <w:lang w:val="en-US"/>
        </w:rPr>
        <w:t>pacienta</w:t>
      </w:r>
      <w:proofErr w:type="spellEnd"/>
      <w:r>
        <w:rPr>
          <w:b/>
          <w:bCs/>
          <w:i/>
          <w:iCs/>
          <w:sz w:val="24"/>
          <w:szCs w:val="24"/>
          <w:u w:val="single"/>
          <w:lang w:val="en-US"/>
        </w:rPr>
        <w:t>/</w:t>
      </w:r>
      <w:proofErr w:type="spellStart"/>
      <w:r>
        <w:rPr>
          <w:b/>
          <w:bCs/>
          <w:i/>
          <w:iCs/>
          <w:sz w:val="24"/>
          <w:szCs w:val="24"/>
          <w:u w:val="single"/>
          <w:lang w:val="en-US"/>
        </w:rPr>
        <w:t>zákonného</w:t>
      </w:r>
      <w:proofErr w:type="spellEnd"/>
      <w:r>
        <w:rPr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  <w:lang w:val="en-US"/>
        </w:rPr>
        <w:t>zástupce</w:t>
      </w:r>
      <w:proofErr w:type="spellEnd"/>
      <w:r>
        <w:rPr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  <w:lang w:val="en-US"/>
        </w:rPr>
        <w:t>pacienta</w:t>
      </w:r>
      <w:proofErr w:type="spellEnd"/>
      <w:r>
        <w:rPr>
          <w:b/>
          <w:bCs/>
          <w:i/>
          <w:iCs/>
          <w:sz w:val="24"/>
          <w:szCs w:val="24"/>
          <w:u w:val="single"/>
          <w:lang w:val="en-US"/>
        </w:rPr>
        <w:t>: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en-US"/>
        </w:rPr>
      </w:pPr>
    </w:p>
    <w:p w:rsidR="006D645D" w:rsidRDefault="006D645D" w:rsidP="00491AE6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Já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níže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podepsaný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prohlašuji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že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jsem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lékařem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srozumitelně</w:t>
      </w:r>
      <w:proofErr w:type="spellEnd"/>
      <w:r>
        <w:rPr>
          <w:sz w:val="24"/>
          <w:szCs w:val="24"/>
          <w:lang w:val="en-US"/>
        </w:rPr>
        <w:t xml:space="preserve"> a v </w:t>
      </w:r>
      <w:proofErr w:type="spellStart"/>
      <w:r>
        <w:rPr>
          <w:sz w:val="24"/>
          <w:szCs w:val="24"/>
          <w:lang w:val="en-US"/>
        </w:rPr>
        <w:t>dostatečném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rozsahu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informován</w:t>
      </w:r>
      <w:proofErr w:type="spell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svém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zdravotním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stavu</w:t>
      </w:r>
      <w:proofErr w:type="spellEnd"/>
      <w:r>
        <w:rPr>
          <w:sz w:val="24"/>
          <w:szCs w:val="24"/>
          <w:lang w:val="en-US"/>
        </w:rPr>
        <w:t xml:space="preserve">/o </w:t>
      </w:r>
      <w:proofErr w:type="spellStart"/>
      <w:r>
        <w:rPr>
          <w:sz w:val="24"/>
          <w:szCs w:val="24"/>
          <w:lang w:val="en-US"/>
        </w:rPr>
        <w:t>zdravotním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stavu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osoby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mnou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zastupované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a</w:t>
      </w:r>
      <w:proofErr w:type="gramEnd"/>
      <w:r>
        <w:rPr>
          <w:sz w:val="24"/>
          <w:szCs w:val="24"/>
          <w:lang w:val="en-US"/>
        </w:rPr>
        <w:t xml:space="preserve"> o </w:t>
      </w:r>
      <w:proofErr w:type="spellStart"/>
      <w:r>
        <w:rPr>
          <w:sz w:val="24"/>
          <w:szCs w:val="24"/>
          <w:lang w:val="en-US"/>
        </w:rPr>
        <w:t>veškerých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shora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uvedených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skutečnostech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r>
        <w:rPr>
          <w:sz w:val="24"/>
          <w:szCs w:val="24"/>
          <w:lang w:val="en-US"/>
        </w:rPr>
        <w:t>Údaje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poučení</w:t>
      </w:r>
      <w:proofErr w:type="spellEnd"/>
      <w:r>
        <w:rPr>
          <w:sz w:val="24"/>
          <w:szCs w:val="24"/>
          <w:lang w:val="en-US"/>
        </w:rPr>
        <w:t xml:space="preserve"> mi </w:t>
      </w:r>
      <w:proofErr w:type="spellStart"/>
      <w:r>
        <w:rPr>
          <w:sz w:val="24"/>
          <w:szCs w:val="24"/>
          <w:lang w:val="en-US"/>
        </w:rPr>
        <w:t>byly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lékařem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sděleny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vysvětleny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porozuměl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jsem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jim</w:t>
      </w:r>
      <w:proofErr w:type="spellEnd"/>
      <w:proofErr w:type="gram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měl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jsem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možnost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klást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doplňující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otázky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které</w:t>
      </w:r>
      <w:proofErr w:type="spellEnd"/>
      <w:r>
        <w:rPr>
          <w:sz w:val="24"/>
          <w:szCs w:val="24"/>
          <w:lang w:val="en-US"/>
        </w:rPr>
        <w:t xml:space="preserve"> mi </w:t>
      </w:r>
      <w:proofErr w:type="spellStart"/>
      <w:r>
        <w:rPr>
          <w:sz w:val="24"/>
          <w:szCs w:val="24"/>
          <w:lang w:val="en-US"/>
        </w:rPr>
        <w:t>byly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lékařem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srozumitelně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zodpovězeny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 xml:space="preserve">Na </w:t>
      </w:r>
      <w:proofErr w:type="spellStart"/>
      <w:r>
        <w:rPr>
          <w:sz w:val="24"/>
          <w:szCs w:val="24"/>
          <w:lang w:val="en-US"/>
        </w:rPr>
        <w:t>základě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poskytnutých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informací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vlastním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zvážení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souhlasím</w:t>
      </w:r>
      <w:proofErr w:type="spellEnd"/>
      <w:r>
        <w:rPr>
          <w:sz w:val="24"/>
          <w:szCs w:val="24"/>
          <w:lang w:val="en-US"/>
        </w:rPr>
        <w:t xml:space="preserve"> s </w:t>
      </w:r>
      <w:proofErr w:type="spellStart"/>
      <w:r>
        <w:rPr>
          <w:sz w:val="24"/>
          <w:szCs w:val="24"/>
          <w:lang w:val="en-US"/>
        </w:rPr>
        <w:t>provedením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zdravotního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výkonu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souhlasím</w:t>
      </w:r>
      <w:proofErr w:type="spellEnd"/>
      <w:r>
        <w:rPr>
          <w:sz w:val="24"/>
          <w:szCs w:val="24"/>
          <w:lang w:val="en-US"/>
        </w:rPr>
        <w:t xml:space="preserve"> s </w:t>
      </w:r>
      <w:proofErr w:type="spellStart"/>
      <w:r>
        <w:rPr>
          <w:sz w:val="24"/>
          <w:szCs w:val="24"/>
          <w:lang w:val="en-US"/>
        </w:rPr>
        <w:t>provedením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zdravotního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výk</w:t>
      </w:r>
      <w:r w:rsidR="00491AE6">
        <w:rPr>
          <w:sz w:val="24"/>
          <w:szCs w:val="24"/>
          <w:lang w:val="en-US"/>
        </w:rPr>
        <w:t>onu</w:t>
      </w:r>
      <w:proofErr w:type="spellEnd"/>
      <w:r w:rsidR="00491AE6">
        <w:rPr>
          <w:sz w:val="24"/>
          <w:szCs w:val="24"/>
          <w:lang w:val="en-US"/>
        </w:rPr>
        <w:t xml:space="preserve"> u </w:t>
      </w:r>
      <w:proofErr w:type="spellStart"/>
      <w:r w:rsidR="00491AE6">
        <w:rPr>
          <w:sz w:val="24"/>
          <w:szCs w:val="24"/>
          <w:lang w:val="en-US"/>
        </w:rPr>
        <w:t>osoby</w:t>
      </w:r>
      <w:proofErr w:type="spellEnd"/>
      <w:r w:rsidR="00491AE6">
        <w:rPr>
          <w:sz w:val="24"/>
          <w:szCs w:val="24"/>
          <w:lang w:val="en-US"/>
        </w:rPr>
        <w:t xml:space="preserve"> </w:t>
      </w:r>
      <w:proofErr w:type="spellStart"/>
      <w:r w:rsidR="00491AE6">
        <w:rPr>
          <w:sz w:val="24"/>
          <w:szCs w:val="24"/>
          <w:lang w:val="en-US"/>
        </w:rPr>
        <w:t>mnou</w:t>
      </w:r>
      <w:proofErr w:type="spellEnd"/>
      <w:r w:rsidR="00491AE6">
        <w:rPr>
          <w:sz w:val="24"/>
          <w:szCs w:val="24"/>
          <w:lang w:val="en-US"/>
        </w:rPr>
        <w:t xml:space="preserve"> </w:t>
      </w:r>
      <w:proofErr w:type="spellStart"/>
      <w:r w:rsidR="00491AE6">
        <w:rPr>
          <w:sz w:val="24"/>
          <w:szCs w:val="24"/>
          <w:lang w:val="en-US"/>
        </w:rPr>
        <w:t>zastupované</w:t>
      </w:r>
      <w:proofErr w:type="spellEnd"/>
      <w:r w:rsidR="00491AE6"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včetně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provedení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dalších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zdravotních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výkonů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pokud</w:t>
      </w:r>
      <w:proofErr w:type="spellEnd"/>
      <w:r>
        <w:rPr>
          <w:sz w:val="24"/>
          <w:szCs w:val="24"/>
          <w:lang w:val="en-US"/>
        </w:rPr>
        <w:t xml:space="preserve"> by </w:t>
      </w:r>
      <w:proofErr w:type="spellStart"/>
      <w:r>
        <w:rPr>
          <w:sz w:val="24"/>
          <w:szCs w:val="24"/>
          <w:lang w:val="en-US"/>
        </w:rPr>
        <w:t>jejich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neprovedení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bezprostředně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ohrozilo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můj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život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nebo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zdraví</w:t>
      </w:r>
      <w:proofErr w:type="spellEnd"/>
      <w:r>
        <w:rPr>
          <w:sz w:val="24"/>
          <w:szCs w:val="24"/>
          <w:lang w:val="en-US"/>
        </w:rPr>
        <w:t>/</w:t>
      </w:r>
      <w:proofErr w:type="spellStart"/>
      <w:r>
        <w:rPr>
          <w:sz w:val="24"/>
          <w:szCs w:val="24"/>
          <w:lang w:val="en-US"/>
        </w:rPr>
        <w:t>život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nebo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zdraví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osoby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mnou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zastupované</w:t>
      </w:r>
      <w:proofErr w:type="spellEnd"/>
      <w:r>
        <w:rPr>
          <w:sz w:val="24"/>
          <w:szCs w:val="24"/>
          <w:lang w:val="en-US"/>
        </w:rPr>
        <w:t>.</w:t>
      </w:r>
      <w:proofErr w:type="gramEnd"/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Současně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také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prohlašuji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že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jsem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lékaři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sdělil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všechny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mně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známé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důvody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které</w:t>
      </w:r>
      <w:proofErr w:type="spellEnd"/>
      <w:r>
        <w:rPr>
          <w:sz w:val="24"/>
          <w:szCs w:val="24"/>
          <w:lang w:val="en-US"/>
        </w:rPr>
        <w:t xml:space="preserve"> by </w:t>
      </w:r>
      <w:proofErr w:type="spellStart"/>
      <w:r>
        <w:rPr>
          <w:sz w:val="24"/>
          <w:szCs w:val="24"/>
          <w:lang w:val="en-US"/>
        </w:rPr>
        <w:t>mohly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zkomplikovat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klidný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průběh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zdravotního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výkonu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zejména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užívané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léky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alergie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všechna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přidružená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onemocnění</w:t>
      </w:r>
      <w:proofErr w:type="spellEnd"/>
      <w:r>
        <w:rPr>
          <w:sz w:val="24"/>
          <w:szCs w:val="24"/>
          <w:lang w:val="en-US"/>
        </w:rPr>
        <w:t>).</w:t>
      </w:r>
      <w:proofErr w:type="gramEnd"/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4"/>
          <w:szCs w:val="24"/>
          <w:lang w:val="en-US"/>
        </w:rPr>
      </w:pPr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i/>
          <w:iCs/>
          <w:sz w:val="24"/>
          <w:szCs w:val="24"/>
          <w:u w:val="single"/>
          <w:lang w:val="en-US"/>
        </w:rPr>
      </w:pPr>
      <w:r>
        <w:rPr>
          <w:i/>
          <w:iCs/>
          <w:sz w:val="24"/>
          <w:szCs w:val="24"/>
          <w:u w:val="single"/>
          <w:lang w:val="en-US"/>
        </w:rPr>
        <w:t xml:space="preserve">Pro </w:t>
      </w:r>
      <w:proofErr w:type="spellStart"/>
      <w:r>
        <w:rPr>
          <w:i/>
          <w:iCs/>
          <w:sz w:val="24"/>
          <w:szCs w:val="24"/>
          <w:u w:val="single"/>
          <w:lang w:val="en-US"/>
        </w:rPr>
        <w:t>zákonného</w:t>
      </w:r>
      <w:proofErr w:type="spellEnd"/>
      <w:r>
        <w:rPr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  <w:lang w:val="en-US"/>
        </w:rPr>
        <w:t>zástupce</w:t>
      </w:r>
      <w:proofErr w:type="spellEnd"/>
      <w:r>
        <w:rPr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u w:val="single"/>
          <w:lang w:val="en-US"/>
        </w:rPr>
        <w:t>pacienta</w:t>
      </w:r>
      <w:proofErr w:type="spellEnd"/>
      <w:r>
        <w:rPr>
          <w:i/>
          <w:iCs/>
          <w:sz w:val="24"/>
          <w:szCs w:val="24"/>
          <w:u w:val="single"/>
          <w:lang w:val="en-US"/>
        </w:rPr>
        <w:t>: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Jako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zákonný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zástupce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nezletilého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pacienta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prohlašuji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že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veškeré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shora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uvedené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informace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byly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poskytnuty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rovněž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tomuto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pacientovi</w:t>
      </w:r>
      <w:proofErr w:type="spellEnd"/>
      <w:r>
        <w:rPr>
          <w:sz w:val="24"/>
          <w:szCs w:val="24"/>
          <w:lang w:val="en-US"/>
        </w:rPr>
        <w:t xml:space="preserve"> (</w:t>
      </w:r>
      <w:proofErr w:type="spellStart"/>
      <w:r>
        <w:rPr>
          <w:sz w:val="24"/>
          <w:szCs w:val="24"/>
          <w:lang w:val="en-US"/>
        </w:rPr>
        <w:t>za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podmínky</w:t>
      </w:r>
      <w:proofErr w:type="spellEnd"/>
      <w:r>
        <w:rPr>
          <w:sz w:val="24"/>
          <w:szCs w:val="24"/>
          <w:lang w:val="en-US"/>
        </w:rPr>
        <w:t>, je-</w:t>
      </w:r>
      <w:proofErr w:type="spellStart"/>
      <w:r>
        <w:rPr>
          <w:sz w:val="24"/>
          <w:szCs w:val="24"/>
          <w:lang w:val="en-US"/>
        </w:rPr>
        <w:t>li</w:t>
      </w:r>
      <w:proofErr w:type="spellEnd"/>
      <w:r>
        <w:rPr>
          <w:sz w:val="24"/>
          <w:szCs w:val="24"/>
          <w:lang w:val="en-US"/>
        </w:rPr>
        <w:t xml:space="preserve"> k </w:t>
      </w:r>
      <w:proofErr w:type="spellStart"/>
      <w:r>
        <w:rPr>
          <w:sz w:val="24"/>
          <w:szCs w:val="24"/>
          <w:lang w:val="en-US"/>
        </w:rPr>
        <w:t>tomu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pacient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přiměřeně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rozumově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volně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vyspělý</w:t>
      </w:r>
      <w:proofErr w:type="spellEnd"/>
      <w:r>
        <w:rPr>
          <w:sz w:val="24"/>
          <w:szCs w:val="24"/>
          <w:lang w:val="en-US"/>
        </w:rPr>
        <w:t>).</w:t>
      </w:r>
      <w:proofErr w:type="gramEnd"/>
      <w:r>
        <w:rPr>
          <w:sz w:val="24"/>
          <w:szCs w:val="24"/>
          <w:lang w:val="en-US"/>
        </w:rPr>
        <w:t xml:space="preserve"> 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i/>
          <w:iCs/>
          <w:sz w:val="24"/>
          <w:szCs w:val="24"/>
          <w:lang w:val="en-US"/>
        </w:rPr>
      </w:pPr>
      <w:proofErr w:type="spellStart"/>
      <w:r>
        <w:rPr>
          <w:i/>
          <w:iCs/>
          <w:sz w:val="24"/>
          <w:szCs w:val="24"/>
          <w:lang w:val="en-US"/>
        </w:rPr>
        <w:t>Pokud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pacientovi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nebyly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takové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informace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poskytnuty</w:t>
      </w:r>
      <w:proofErr w:type="spellEnd"/>
      <w:r>
        <w:rPr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i/>
          <w:iCs/>
          <w:sz w:val="24"/>
          <w:szCs w:val="24"/>
          <w:lang w:val="en-US"/>
        </w:rPr>
        <w:t>uvede</w:t>
      </w:r>
      <w:proofErr w:type="spellEnd"/>
      <w:r>
        <w:rPr>
          <w:i/>
          <w:iCs/>
          <w:sz w:val="24"/>
          <w:szCs w:val="24"/>
          <w:lang w:val="en-US"/>
        </w:rPr>
        <w:t xml:space="preserve"> se </w:t>
      </w:r>
      <w:proofErr w:type="spellStart"/>
      <w:r>
        <w:rPr>
          <w:i/>
          <w:iCs/>
          <w:sz w:val="24"/>
          <w:szCs w:val="24"/>
          <w:lang w:val="en-US"/>
        </w:rPr>
        <w:t>důvod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jejich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z w:val="24"/>
          <w:szCs w:val="24"/>
          <w:lang w:val="en-US"/>
        </w:rPr>
        <w:t>neposkytnutí</w:t>
      </w:r>
      <w:proofErr w:type="spellEnd"/>
      <w:r>
        <w:rPr>
          <w:i/>
          <w:iCs/>
          <w:sz w:val="24"/>
          <w:szCs w:val="24"/>
          <w:lang w:val="en-US"/>
        </w:rPr>
        <w:t xml:space="preserve">: 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46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6D645D" w:rsidRDefault="006D645D" w:rsidP="000B032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4"/>
          <w:szCs w:val="24"/>
          <w:lang w:val="en-US"/>
        </w:rPr>
      </w:pPr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ind w:left="6300" w:hanging="630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 </w:t>
      </w:r>
      <w:proofErr w:type="spellStart"/>
      <w:r>
        <w:rPr>
          <w:sz w:val="24"/>
          <w:szCs w:val="24"/>
          <w:lang w:val="en-US"/>
        </w:rPr>
        <w:t>Praze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dne</w:t>
      </w:r>
      <w:proofErr w:type="spellEnd"/>
      <w:r>
        <w:rPr>
          <w:sz w:val="24"/>
          <w:szCs w:val="24"/>
          <w:lang w:val="en-US"/>
        </w:rPr>
        <w:t xml:space="preserve">……………           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ind w:left="6300" w:hanging="6300"/>
        <w:jc w:val="both"/>
        <w:rPr>
          <w:sz w:val="24"/>
          <w:szCs w:val="24"/>
          <w:lang w:val="en-US"/>
        </w:rPr>
      </w:pPr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ind w:left="6300" w:hanging="6300"/>
        <w:jc w:val="both"/>
        <w:rPr>
          <w:sz w:val="24"/>
          <w:szCs w:val="24"/>
          <w:lang w:val="en-US"/>
        </w:rPr>
      </w:pPr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ind w:left="4176" w:hanging="346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……………………………                  NEBO      ………………………….....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</w:t>
      </w:r>
      <w:proofErr w:type="spellStart"/>
      <w:r>
        <w:rPr>
          <w:b/>
          <w:bCs/>
          <w:sz w:val="24"/>
          <w:szCs w:val="24"/>
          <w:lang w:val="en-US"/>
        </w:rPr>
        <w:t>Podpis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zákonného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zástupce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pacienta</w:t>
      </w:r>
      <w:proofErr w:type="spellEnd"/>
      <w:r>
        <w:rPr>
          <w:b/>
          <w:bCs/>
          <w:sz w:val="24"/>
          <w:szCs w:val="24"/>
          <w:lang w:val="en-US"/>
        </w:rPr>
        <w:t xml:space="preserve">                                 </w:t>
      </w:r>
      <w:proofErr w:type="spellStart"/>
      <w:r>
        <w:rPr>
          <w:b/>
          <w:bCs/>
          <w:sz w:val="24"/>
          <w:szCs w:val="24"/>
          <w:lang w:val="en-US"/>
        </w:rPr>
        <w:t>Podpis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pacienta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vertAlign w:val="superscript"/>
          <w:lang w:val="en-US"/>
        </w:rPr>
        <w:t>*</w:t>
      </w:r>
      <w:r>
        <w:rPr>
          <w:b/>
          <w:bCs/>
          <w:sz w:val="24"/>
          <w:szCs w:val="24"/>
          <w:lang w:val="en-US"/>
        </w:rPr>
        <w:t xml:space="preserve">                     </w:t>
      </w:r>
    </w:p>
    <w:p w:rsidR="006D645D" w:rsidRDefault="006D645D" w:rsidP="00557254">
      <w:pPr>
        <w:widowControl w:val="0"/>
        <w:autoSpaceDE w:val="0"/>
        <w:autoSpaceDN w:val="0"/>
        <w:adjustRightInd w:val="0"/>
        <w:spacing w:line="240" w:lineRule="atLeast"/>
        <w:ind w:left="2832"/>
        <w:jc w:val="both"/>
        <w:rPr>
          <w:b/>
          <w:bCs/>
          <w:i/>
          <w:i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460" w:lineRule="atLeast"/>
        <w:jc w:val="both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i/>
          <w:iCs/>
          <w:sz w:val="24"/>
          <w:szCs w:val="24"/>
          <w:u w:val="single"/>
          <w:lang w:val="en-US"/>
        </w:rPr>
        <w:t>Identifikace</w:t>
      </w:r>
      <w:proofErr w:type="spellEnd"/>
      <w:r>
        <w:rPr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  <w:lang w:val="en-US"/>
        </w:rPr>
        <w:t>zákonného</w:t>
      </w:r>
      <w:proofErr w:type="spellEnd"/>
      <w:r>
        <w:rPr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  <w:lang w:val="en-US"/>
        </w:rPr>
        <w:t>zástupce</w:t>
      </w:r>
      <w:proofErr w:type="spellEnd"/>
      <w:r>
        <w:rPr>
          <w:b/>
          <w:bCs/>
          <w:i/>
          <w:i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u w:val="single"/>
          <w:lang w:val="en-US"/>
        </w:rPr>
        <w:t>pacienta</w:t>
      </w:r>
      <w:proofErr w:type="spellEnd"/>
      <w:r>
        <w:rPr>
          <w:b/>
          <w:bCs/>
          <w:i/>
          <w:iCs/>
          <w:sz w:val="24"/>
          <w:szCs w:val="24"/>
          <w:u w:val="single"/>
          <w:lang w:val="en-US"/>
        </w:rPr>
        <w:t>: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460" w:lineRule="atLeast"/>
        <w:jc w:val="both"/>
        <w:rPr>
          <w:sz w:val="24"/>
          <w:szCs w:val="24"/>
          <w:lang w:val="en-US"/>
        </w:rPr>
      </w:pPr>
    </w:p>
    <w:p w:rsidR="006D645D" w:rsidRDefault="006D645D" w:rsidP="006D645D">
      <w:pPr>
        <w:widowControl w:val="0"/>
        <w:autoSpaceDE w:val="0"/>
        <w:autoSpaceDN w:val="0"/>
        <w:adjustRightInd w:val="0"/>
        <w:spacing w:line="460" w:lineRule="atLeast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 </w:t>
      </w:r>
      <w:proofErr w:type="spellStart"/>
      <w:r>
        <w:rPr>
          <w:sz w:val="24"/>
          <w:szCs w:val="24"/>
          <w:lang w:val="en-US"/>
        </w:rPr>
        <w:t>Jméno</w:t>
      </w:r>
      <w:proofErr w:type="spellEnd"/>
      <w:r>
        <w:rPr>
          <w:sz w:val="24"/>
          <w:szCs w:val="24"/>
          <w:lang w:val="en-US"/>
        </w:rPr>
        <w:t xml:space="preserve"> a </w:t>
      </w:r>
      <w:proofErr w:type="spellStart"/>
      <w:r>
        <w:rPr>
          <w:sz w:val="24"/>
          <w:szCs w:val="24"/>
          <w:lang w:val="en-US"/>
        </w:rPr>
        <w:t>příjmení</w:t>
      </w:r>
      <w:proofErr w:type="spellEnd"/>
      <w:proofErr w:type="gramStart"/>
      <w:r>
        <w:rPr>
          <w:sz w:val="24"/>
          <w:szCs w:val="24"/>
          <w:lang w:val="en-US"/>
        </w:rPr>
        <w:t>:  .</w:t>
      </w:r>
      <w:proofErr w:type="gramEnd"/>
      <w:r>
        <w:rPr>
          <w:sz w:val="24"/>
          <w:szCs w:val="24"/>
          <w:lang w:val="en-US"/>
        </w:rPr>
        <w:t xml:space="preserve">……………………...……………….Datum </w:t>
      </w:r>
      <w:proofErr w:type="spellStart"/>
      <w:r>
        <w:rPr>
          <w:sz w:val="24"/>
          <w:szCs w:val="24"/>
          <w:lang w:val="en-US"/>
        </w:rPr>
        <w:t>narození</w:t>
      </w:r>
      <w:proofErr w:type="spellEnd"/>
      <w:r>
        <w:rPr>
          <w:sz w:val="24"/>
          <w:szCs w:val="24"/>
          <w:lang w:val="en-US"/>
        </w:rPr>
        <w:t>: .……………….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460" w:lineRule="atLeast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Vztah</w:t>
      </w:r>
      <w:proofErr w:type="spellEnd"/>
      <w:r>
        <w:rPr>
          <w:sz w:val="24"/>
          <w:szCs w:val="24"/>
          <w:lang w:val="en-US"/>
        </w:rPr>
        <w:t xml:space="preserve"> k </w:t>
      </w:r>
      <w:proofErr w:type="spellStart"/>
      <w:r>
        <w:rPr>
          <w:sz w:val="24"/>
          <w:szCs w:val="24"/>
          <w:lang w:val="en-US"/>
        </w:rPr>
        <w:t>pacientovi</w:t>
      </w:r>
      <w:proofErr w:type="spellEnd"/>
      <w:proofErr w:type="gramStart"/>
      <w:r>
        <w:rPr>
          <w:sz w:val="24"/>
          <w:szCs w:val="24"/>
          <w:lang w:val="en-US"/>
        </w:rPr>
        <w:t>: .</w:t>
      </w:r>
      <w:proofErr w:type="gramEnd"/>
      <w:r>
        <w:rPr>
          <w:sz w:val="24"/>
          <w:szCs w:val="24"/>
          <w:lang w:val="en-US"/>
        </w:rPr>
        <w:t>…………………………………………………………………………….</w:t>
      </w:r>
    </w:p>
    <w:p w:rsidR="006D645D" w:rsidRDefault="006D645D" w:rsidP="006D645D">
      <w:pPr>
        <w:widowControl w:val="0"/>
        <w:autoSpaceDE w:val="0"/>
        <w:autoSpaceDN w:val="0"/>
        <w:adjustRightInd w:val="0"/>
        <w:spacing w:line="460" w:lineRule="atLeast"/>
        <w:jc w:val="both"/>
        <w:rPr>
          <w:sz w:val="24"/>
          <w:szCs w:val="24"/>
          <w:lang w:val="en-US"/>
        </w:rPr>
      </w:pPr>
    </w:p>
    <w:p w:rsidR="006D645D" w:rsidRDefault="006D645D" w:rsidP="006D645D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 xml:space="preserve">2) </w:t>
      </w:r>
      <w:r>
        <w:rPr>
          <w:color w:val="000000"/>
          <w:sz w:val="24"/>
          <w:szCs w:val="24"/>
        </w:rPr>
        <w:t>Jméno a příjmení</w:t>
      </w:r>
      <w:proofErr w:type="gramStart"/>
      <w:r>
        <w:rPr>
          <w:color w:val="000000"/>
          <w:sz w:val="24"/>
          <w:szCs w:val="24"/>
        </w:rPr>
        <w:t>: .</w:t>
      </w:r>
      <w:proofErr w:type="gramEnd"/>
      <w:r>
        <w:rPr>
          <w:color w:val="000000"/>
          <w:sz w:val="24"/>
          <w:szCs w:val="24"/>
        </w:rPr>
        <w:t>……………………...……………….Datum narození:………………….</w:t>
      </w:r>
    </w:p>
    <w:p w:rsidR="006D645D" w:rsidRDefault="006D645D" w:rsidP="0055725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lang w:val="en-US"/>
        </w:rPr>
      </w:pPr>
      <w:r>
        <w:rPr>
          <w:color w:val="000000"/>
          <w:sz w:val="24"/>
          <w:szCs w:val="24"/>
        </w:rPr>
        <w:t>Vztah k </w:t>
      </w:r>
      <w:proofErr w:type="gramStart"/>
      <w:r>
        <w:rPr>
          <w:color w:val="000000"/>
          <w:sz w:val="24"/>
          <w:szCs w:val="24"/>
        </w:rPr>
        <w:t>pacientovi: .…</w:t>
      </w:r>
      <w:proofErr w:type="gramEnd"/>
      <w:r>
        <w:rPr>
          <w:color w:val="000000"/>
          <w:sz w:val="24"/>
          <w:szCs w:val="24"/>
        </w:rPr>
        <w:t>………………………………………………………………………….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39132E" w:rsidRDefault="006D645D" w:rsidP="00557254">
      <w:pPr>
        <w:widowControl w:val="0"/>
        <w:autoSpaceDE w:val="0"/>
        <w:autoSpaceDN w:val="0"/>
        <w:adjustRightInd w:val="0"/>
        <w:spacing w:line="220" w:lineRule="atLeast"/>
        <w:jc w:val="both"/>
      </w:pPr>
      <w:r>
        <w:rPr>
          <w:sz w:val="24"/>
          <w:szCs w:val="24"/>
          <w:vertAlign w:val="superscript"/>
          <w:lang w:val="en-US"/>
        </w:rPr>
        <w:t>*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Nezletilému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pacientovi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zdravotní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služby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poskytnout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základě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souhlasu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jestliže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provedení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úkonu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přiměřené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rozumové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volní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vyspělosti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odpovídající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věku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 xml:space="preserve">U </w:t>
      </w:r>
      <w:proofErr w:type="spellStart"/>
      <w:r>
        <w:rPr>
          <w:lang w:val="en-US"/>
        </w:rPr>
        <w:t>pacienta</w:t>
      </w:r>
      <w:proofErr w:type="spellEnd"/>
      <w:r>
        <w:rPr>
          <w:lang w:val="en-US"/>
        </w:rPr>
        <w:t xml:space="preserve"> s </w:t>
      </w:r>
      <w:proofErr w:type="spellStart"/>
      <w:r>
        <w:rPr>
          <w:lang w:val="en-US"/>
        </w:rPr>
        <w:t>omezenou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svéprávností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postupuje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obdobně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nezohledňuje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však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věk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pacienta</w:t>
      </w:r>
      <w:proofErr w:type="spellEnd"/>
      <w:r>
        <w:rPr>
          <w:lang w:val="en-US"/>
        </w:rPr>
        <w:t>.</w:t>
      </w:r>
      <w:bookmarkStart w:id="3" w:name="_GoBack"/>
      <w:bookmarkEnd w:id="3"/>
      <w:proofErr w:type="gramEnd"/>
    </w:p>
    <w:sectPr w:rsidR="0039132E" w:rsidSect="005972B3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75" w:rsidRDefault="003D0C75">
      <w:r>
        <w:separator/>
      </w:r>
    </w:p>
  </w:endnote>
  <w:endnote w:type="continuationSeparator" w:id="0">
    <w:p w:rsidR="003D0C75" w:rsidRDefault="003D0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E1" w:rsidRDefault="006500E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Strana </w:t>
    </w:r>
    <w:r w:rsidR="000A72CA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 w:rsidR="000A72CA">
      <w:rPr>
        <w:color w:val="000000"/>
        <w:sz w:val="18"/>
        <w:szCs w:val="18"/>
      </w:rPr>
      <w:fldChar w:fldCharType="separate"/>
    </w:r>
    <w:r w:rsidR="002171D5">
      <w:rPr>
        <w:noProof/>
        <w:color w:val="000000"/>
        <w:sz w:val="18"/>
        <w:szCs w:val="18"/>
      </w:rPr>
      <w:t>6</w:t>
    </w:r>
    <w:r w:rsidR="000A72CA"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 w:rsidR="000A72CA"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 w:rsidR="000A72CA">
      <w:rPr>
        <w:color w:val="000000"/>
        <w:sz w:val="18"/>
        <w:szCs w:val="18"/>
      </w:rPr>
      <w:fldChar w:fldCharType="separate"/>
    </w:r>
    <w:r w:rsidR="002171D5">
      <w:rPr>
        <w:noProof/>
        <w:color w:val="000000"/>
        <w:sz w:val="18"/>
        <w:szCs w:val="18"/>
      </w:rPr>
      <w:t>6</w:t>
    </w:r>
    <w:r w:rsidR="000A72CA"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75" w:rsidRDefault="003D0C75">
      <w:r>
        <w:separator/>
      </w:r>
    </w:p>
  </w:footnote>
  <w:footnote w:type="continuationSeparator" w:id="0">
    <w:p w:rsidR="003D0C75" w:rsidRDefault="003D0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E1" w:rsidRDefault="006500E1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360" w:lineRule="auto"/>
      <w:rPr>
        <w:color w:val="000000"/>
        <w:sz w:val="22"/>
        <w:szCs w:val="22"/>
      </w:rPr>
    </w:pPr>
    <w:r>
      <w:rPr>
        <w:sz w:val="22"/>
        <w:szCs w:val="22"/>
      </w:rPr>
      <w:t>Klinika dětské neurologie</w:t>
    </w:r>
    <w:r>
      <w:rPr>
        <w:color w:val="000000"/>
        <w:sz w:val="22"/>
        <w:szCs w:val="22"/>
      </w:rPr>
      <w:t xml:space="preserve"> 2. LF UK a FN Motol</w:t>
    </w:r>
    <w:r>
      <w:rPr>
        <w:color w:val="000000"/>
        <w:sz w:val="22"/>
        <w:szCs w:val="22"/>
      </w:rPr>
      <w:tab/>
      <w:t xml:space="preserve">                                               IS_</w:t>
    </w:r>
    <w:r w:rsidR="00F06697">
      <w:rPr>
        <w:sz w:val="22"/>
        <w:szCs w:val="22"/>
      </w:rPr>
      <w:t>0086</w:t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E2CAF"/>
    <w:multiLevelType w:val="multilevel"/>
    <w:tmpl w:val="CF822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F757BA2"/>
    <w:multiLevelType w:val="hybridMultilevel"/>
    <w:tmpl w:val="B866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348C3"/>
    <w:multiLevelType w:val="multilevel"/>
    <w:tmpl w:val="396442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4B45113"/>
    <w:multiLevelType w:val="hybridMultilevel"/>
    <w:tmpl w:val="F8B6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B6543"/>
    <w:multiLevelType w:val="hybridMultilevel"/>
    <w:tmpl w:val="0824CE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32E"/>
    <w:rsid w:val="000A72CA"/>
    <w:rsid w:val="000B032E"/>
    <w:rsid w:val="00107F5E"/>
    <w:rsid w:val="0011464A"/>
    <w:rsid w:val="00165094"/>
    <w:rsid w:val="001F620B"/>
    <w:rsid w:val="002117B5"/>
    <w:rsid w:val="002171D5"/>
    <w:rsid w:val="00223A27"/>
    <w:rsid w:val="0025715F"/>
    <w:rsid w:val="002759B7"/>
    <w:rsid w:val="0036343A"/>
    <w:rsid w:val="0039132E"/>
    <w:rsid w:val="003D0C75"/>
    <w:rsid w:val="00460FD2"/>
    <w:rsid w:val="00491AE6"/>
    <w:rsid w:val="004D632E"/>
    <w:rsid w:val="00557254"/>
    <w:rsid w:val="005972B3"/>
    <w:rsid w:val="006500E1"/>
    <w:rsid w:val="006D645D"/>
    <w:rsid w:val="00781006"/>
    <w:rsid w:val="00854848"/>
    <w:rsid w:val="00866C80"/>
    <w:rsid w:val="00881B6B"/>
    <w:rsid w:val="008D2F68"/>
    <w:rsid w:val="00951F3D"/>
    <w:rsid w:val="00A83C81"/>
    <w:rsid w:val="00AB6B27"/>
    <w:rsid w:val="00C72BF3"/>
    <w:rsid w:val="00C845EE"/>
    <w:rsid w:val="00D90D04"/>
    <w:rsid w:val="00E60B39"/>
    <w:rsid w:val="00EB64A7"/>
    <w:rsid w:val="00F03C62"/>
    <w:rsid w:val="00F0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F68"/>
  </w:style>
  <w:style w:type="paragraph" w:styleId="Nadpis1">
    <w:name w:val="heading 1"/>
    <w:basedOn w:val="normal"/>
    <w:next w:val="normal"/>
    <w:rsid w:val="008D2F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8D2F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8D2F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8D2F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8D2F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al"/>
    <w:next w:val="normal"/>
    <w:rsid w:val="008D2F68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D2F68"/>
  </w:style>
  <w:style w:type="paragraph" w:styleId="Nzev">
    <w:name w:val="Title"/>
    <w:basedOn w:val="normal"/>
    <w:next w:val="normal"/>
    <w:rsid w:val="008D2F6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8D2F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54848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4848"/>
  </w:style>
  <w:style w:type="paragraph" w:styleId="Zpat">
    <w:name w:val="footer"/>
    <w:basedOn w:val="Normln"/>
    <w:link w:val="ZpatChar"/>
    <w:uiPriority w:val="99"/>
    <w:unhideWhenUsed/>
    <w:rsid w:val="00854848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4848"/>
  </w:style>
  <w:style w:type="character" w:styleId="Odkaznakoment">
    <w:name w:val="annotation reference"/>
    <w:basedOn w:val="Standardnpsmoodstavce"/>
    <w:uiPriority w:val="99"/>
    <w:semiHidden/>
    <w:unhideWhenUsed/>
    <w:rsid w:val="00E60B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B3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B3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B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B3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0B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0B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48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848"/>
  </w:style>
  <w:style w:type="paragraph" w:styleId="Footer">
    <w:name w:val="footer"/>
    <w:basedOn w:val="Normal"/>
    <w:link w:val="FooterChar"/>
    <w:uiPriority w:val="99"/>
    <w:unhideWhenUsed/>
    <w:rsid w:val="00854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848"/>
  </w:style>
  <w:style w:type="character" w:styleId="CommentReference">
    <w:name w:val="annotation reference"/>
    <w:basedOn w:val="DefaultParagraphFont"/>
    <w:uiPriority w:val="99"/>
    <w:semiHidden/>
    <w:unhideWhenUsed/>
    <w:rsid w:val="00E60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B3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B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B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1907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Pokorná 6267</dc:creator>
  <cp:lastModifiedBy>hejnicova27337</cp:lastModifiedBy>
  <cp:revision>7</cp:revision>
  <cp:lastPrinted>2019-01-03T07:44:00Z</cp:lastPrinted>
  <dcterms:created xsi:type="dcterms:W3CDTF">2019-01-02T11:53:00Z</dcterms:created>
  <dcterms:modified xsi:type="dcterms:W3CDTF">2019-01-03T07:46:00Z</dcterms:modified>
</cp:coreProperties>
</file>